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竹溪河流域及支流水环境综合治理工程（沿竹溪河截污干管）一期排水工程B、C线临时连接倒虹吸工程中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选</w:t>
      </w:r>
      <w:r>
        <w:rPr>
          <w:rFonts w:hint="eastAsia" w:ascii="方正小标宋_GBK" w:eastAsia="方正小标宋_GBK"/>
          <w:sz w:val="32"/>
          <w:szCs w:val="32"/>
        </w:rPr>
        <w:t>候选人公示</w:t>
      </w:r>
    </w:p>
    <w:p>
      <w:pPr>
        <w:jc w:val="center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2"/>
          <w:szCs w:val="32"/>
        </w:rPr>
        <w:t>（公示期：2020年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12</w:t>
      </w:r>
      <w:r>
        <w:rPr>
          <w:rFonts w:hint="eastAsia" w:ascii="方正小标宋_GBK" w:eastAsia="方正小标宋_GBK"/>
          <w:sz w:val="32"/>
          <w:szCs w:val="32"/>
        </w:rPr>
        <w:t>月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sz w:val="32"/>
          <w:szCs w:val="32"/>
        </w:rPr>
        <w:t>日至2020年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12</w:t>
      </w:r>
      <w:r>
        <w:rPr>
          <w:rFonts w:hint="eastAsia" w:ascii="方正小标宋_GBK" w:eastAsia="方正小标宋_GBK"/>
          <w:sz w:val="32"/>
          <w:szCs w:val="32"/>
        </w:rPr>
        <w:t>月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5</w:t>
      </w:r>
      <w:r>
        <w:rPr>
          <w:rFonts w:hint="eastAsia" w:ascii="方正小标宋_GBK" w:eastAsia="方正小标宋_GBK"/>
          <w:sz w:val="32"/>
          <w:szCs w:val="32"/>
        </w:rPr>
        <w:t>日）</w:t>
      </w:r>
    </w:p>
    <w:tbl>
      <w:tblPr>
        <w:tblStyle w:val="6"/>
        <w:tblpPr w:leftFromText="180" w:rightFromText="180" w:vertAnchor="text" w:horzAnchor="margin" w:tblpXSpec="center" w:tblpY="227"/>
        <w:tblW w:w="10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1418"/>
        <w:gridCol w:w="1276"/>
        <w:gridCol w:w="669"/>
        <w:gridCol w:w="1032"/>
        <w:gridCol w:w="283"/>
        <w:gridCol w:w="792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项目标段名称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竹溪河流域及支流水环境综合治理工程（沿竹溪河截污干管）一期排水工程B、C线临时连接倒虹吸工程　</w:t>
            </w:r>
          </w:p>
        </w:tc>
        <w:tc>
          <w:tcPr>
            <w:tcW w:w="1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最高限价</w:t>
            </w:r>
          </w:p>
        </w:tc>
        <w:tc>
          <w:tcPr>
            <w:tcW w:w="197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824868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公告编号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比选人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重庆两江新区水土高新技术产业园建设投资有限公司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人联系电话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MingLiU"/>
                <w:snapToGrid w:val="0"/>
              </w:rPr>
              <w:t>023-60313543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代理机构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重庆合信工程咨询有限公司　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代理机构联系电话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023-68620491转616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候选人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报价（元）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（日历天）</w:t>
            </w:r>
          </w:p>
        </w:tc>
        <w:tc>
          <w:tcPr>
            <w:tcW w:w="66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拟任项目负责人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第一名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四川呈河建设工程有限公司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716911.07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唐远华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二级建造师注册证书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01061482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第二名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重庆凯安建筑工程有限公司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767925.98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李昕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二级建造师注册证书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02364474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第三名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业兴实业集团有限公司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775178.98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孙丽丽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  <w:t>一级建造师注册证书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00423489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候选人响应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文件要求的资格能力条件</w:t>
            </w:r>
          </w:p>
        </w:tc>
        <w:tc>
          <w:tcPr>
            <w:tcW w:w="86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完全响应</w:t>
            </w:r>
          </w:p>
        </w:tc>
      </w:tr>
    </w:tbl>
    <w:tbl>
      <w:tblPr>
        <w:tblStyle w:val="6"/>
        <w:tblpPr w:leftFromText="180" w:rightFromText="180" w:vertAnchor="text" w:horzAnchor="margin" w:tblpXSpec="center" w:tblpY="-734"/>
        <w:tblW w:w="10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3633"/>
        <w:gridCol w:w="5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5" w:hRule="atLeast"/>
        </w:trPr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文件规定应公示的其他内容</w:t>
            </w:r>
          </w:p>
        </w:tc>
        <w:tc>
          <w:tcPr>
            <w:tcW w:w="896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第一名：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四川呈河建设工程有限公司</w:t>
            </w:r>
            <w:r>
              <w:rPr>
                <w:rFonts w:hint="eastAsia"/>
              </w:rPr>
              <w:t>，单位资质：</w:t>
            </w:r>
            <w:r>
              <w:rPr>
                <w:rFonts w:hint="eastAsia"/>
                <w:lang w:eastAsia="zh-CN"/>
              </w:rPr>
              <w:t>市政公用工程施工总承包贰级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第二名：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重庆凯安建筑工程有限公司</w:t>
            </w:r>
            <w:r>
              <w:rPr>
                <w:rFonts w:hint="eastAsia"/>
              </w:rPr>
              <w:t>，单位资质：</w:t>
            </w:r>
            <w:r>
              <w:rPr>
                <w:rFonts w:hint="eastAsia"/>
                <w:lang w:eastAsia="zh-CN"/>
              </w:rPr>
              <w:t>市政公用工程施工总承包叁级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/>
            </w:pPr>
            <w:r>
              <w:rPr>
                <w:rFonts w:hint="eastAsia"/>
              </w:rPr>
              <w:t>第三名：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业兴实业集团有限公司</w:t>
            </w:r>
            <w:r>
              <w:rPr>
                <w:rFonts w:hint="eastAsia"/>
              </w:rPr>
              <w:t>，单位资质：</w:t>
            </w:r>
            <w:r>
              <w:rPr>
                <w:rFonts w:hint="eastAsia"/>
                <w:lang w:eastAsia="zh-CN"/>
              </w:rPr>
              <w:t>市政公用工程施工总承包壹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级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候选人评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96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  <w:t>中选候选人均通过符合性审查（</w:t>
            </w:r>
            <w:r>
              <w:rPr>
                <w:rFonts w:hint="eastAsia" w:ascii="宋体" w:hAnsi="宋体"/>
                <w:spacing w:val="4"/>
                <w:kern w:val="0"/>
                <w:szCs w:val="21"/>
              </w:rPr>
              <w:t>符合性审查内容：资格评审、形式评审、响应性、比选申请函及比选申请报价评审。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  <w:t>），按照报价由低到高确定中标候选人。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提出异议的渠道和方式</w:t>
            </w:r>
          </w:p>
        </w:tc>
        <w:tc>
          <w:tcPr>
            <w:tcW w:w="896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人或者其他利害关系人对评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结果有异议的，应在中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候选人公示期内以书面形式向比选人：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>重庆两江新区水土高新技术产业园建设投资有限公司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(联系人：阙女士，联系电话：023-60313543）提出异议。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53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eastAsia="zh-CN"/>
              </w:rPr>
              <w:t>比选人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（盖章）</w:t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t>: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>重庆两江新区水土高新技术产业园建设投资有限公司</w:t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2940" w:firstLineChars="14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 xml:space="preserve"> 2020年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3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代理机构（盖章）：重庆合信工程咨询有限公司　</w:t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Calibri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jc w:val="right"/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ind w:firstLine="630" w:firstLineChars="300"/>
              <w:jc w:val="right"/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630" w:firstLineChars="30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Calibri" w:asciiTheme="majorEastAsia" w:hAnsiTheme="majorEastAsia" w:eastAsiaTheme="majorEastAsia"/>
                <w:color w:val="000000"/>
                <w:kern w:val="0"/>
                <w:szCs w:val="21"/>
              </w:rPr>
              <w:t xml:space="preserve">日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注：1.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比选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人及其委托的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比选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代理机构对填写的中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选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候选人公示内容的真实性、准确性和一致性负责。</w:t>
      </w:r>
    </w:p>
    <w:p>
      <w:pPr>
        <w:spacing w:line="360" w:lineRule="auto"/>
        <w:ind w:firstLine="440" w:firstLineChars="200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2.发布媒介和电子招标交易平台应当对所发布的公示信息的及时性、完整性负责。</w:t>
      </w:r>
    </w:p>
    <w:p>
      <w:pPr>
        <w:spacing w:line="360" w:lineRule="auto"/>
        <w:ind w:firstLine="440" w:firstLineChars="200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3.中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选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候选人公示纸质文本须加盖单位公章，多页还应加盖骑缝章。</w:t>
      </w: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7769"/>
    <w:rsid w:val="00107C76"/>
    <w:rsid w:val="001209F7"/>
    <w:rsid w:val="0014143C"/>
    <w:rsid w:val="001A3177"/>
    <w:rsid w:val="002550A9"/>
    <w:rsid w:val="002B140A"/>
    <w:rsid w:val="003902E5"/>
    <w:rsid w:val="00426440"/>
    <w:rsid w:val="0055752E"/>
    <w:rsid w:val="005F7769"/>
    <w:rsid w:val="006033F2"/>
    <w:rsid w:val="00614662"/>
    <w:rsid w:val="00614FB0"/>
    <w:rsid w:val="006A415F"/>
    <w:rsid w:val="006A71D4"/>
    <w:rsid w:val="006E01F5"/>
    <w:rsid w:val="00710A82"/>
    <w:rsid w:val="00712095"/>
    <w:rsid w:val="0071677F"/>
    <w:rsid w:val="007620D2"/>
    <w:rsid w:val="007C4F8D"/>
    <w:rsid w:val="0080654C"/>
    <w:rsid w:val="00842161"/>
    <w:rsid w:val="00913912"/>
    <w:rsid w:val="009461FE"/>
    <w:rsid w:val="009A294A"/>
    <w:rsid w:val="009C0976"/>
    <w:rsid w:val="00A52B3F"/>
    <w:rsid w:val="00A81344"/>
    <w:rsid w:val="00B54FA7"/>
    <w:rsid w:val="00B60303"/>
    <w:rsid w:val="00B661D8"/>
    <w:rsid w:val="00B93BBC"/>
    <w:rsid w:val="00C028D0"/>
    <w:rsid w:val="00CB42A1"/>
    <w:rsid w:val="00D71490"/>
    <w:rsid w:val="00DF5398"/>
    <w:rsid w:val="00E16C1F"/>
    <w:rsid w:val="00E748E2"/>
    <w:rsid w:val="00EE5F9B"/>
    <w:rsid w:val="00F6634C"/>
    <w:rsid w:val="00FB616A"/>
    <w:rsid w:val="010A4A45"/>
    <w:rsid w:val="022805E2"/>
    <w:rsid w:val="06235998"/>
    <w:rsid w:val="06255658"/>
    <w:rsid w:val="065A1EB9"/>
    <w:rsid w:val="0C886FCB"/>
    <w:rsid w:val="0E8205C8"/>
    <w:rsid w:val="163B584D"/>
    <w:rsid w:val="18922D7D"/>
    <w:rsid w:val="19384759"/>
    <w:rsid w:val="1DDF5193"/>
    <w:rsid w:val="209F2D8F"/>
    <w:rsid w:val="241B1F9B"/>
    <w:rsid w:val="2B2311C0"/>
    <w:rsid w:val="2C47150B"/>
    <w:rsid w:val="2E1273E9"/>
    <w:rsid w:val="2E6D0B4A"/>
    <w:rsid w:val="35DD2234"/>
    <w:rsid w:val="4223562F"/>
    <w:rsid w:val="458F07FB"/>
    <w:rsid w:val="488454F1"/>
    <w:rsid w:val="488A792F"/>
    <w:rsid w:val="48E6780C"/>
    <w:rsid w:val="4F2472A6"/>
    <w:rsid w:val="50223BA3"/>
    <w:rsid w:val="50685118"/>
    <w:rsid w:val="5727472E"/>
    <w:rsid w:val="59910918"/>
    <w:rsid w:val="5C206E8F"/>
    <w:rsid w:val="5E7010AE"/>
    <w:rsid w:val="5F3024B8"/>
    <w:rsid w:val="61B22572"/>
    <w:rsid w:val="62A4767E"/>
    <w:rsid w:val="69634D33"/>
    <w:rsid w:val="6BE202C6"/>
    <w:rsid w:val="6DFD41D1"/>
    <w:rsid w:val="70D43BFA"/>
    <w:rsid w:val="77BD1A0F"/>
    <w:rsid w:val="7ACF5528"/>
    <w:rsid w:val="7DA60536"/>
    <w:rsid w:val="7F497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uiPriority w:val="99"/>
    <w:rPr>
      <w:color w:val="800080"/>
      <w:u w:val="none"/>
    </w:rPr>
  </w:style>
  <w:style w:type="character" w:styleId="9">
    <w:name w:val="HTML Definition"/>
    <w:basedOn w:val="7"/>
    <w:semiHidden/>
    <w:unhideWhenUsed/>
    <w:uiPriority w:val="99"/>
  </w:style>
  <w:style w:type="character" w:styleId="10">
    <w:name w:val="HTML Typewriter"/>
    <w:basedOn w:val="7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semiHidden/>
    <w:unhideWhenUsed/>
    <w:uiPriority w:val="99"/>
    <w:rPr>
      <w:bdr w:val="none" w:color="auto" w:sz="0" w:space="0"/>
    </w:rPr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semiHidden/>
    <w:unhideWhenUsed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uiPriority w:val="99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7"/>
    <w:semiHidden/>
    <w:unhideWhenUsed/>
    <w:uiPriority w:val="99"/>
  </w:style>
  <w:style w:type="character" w:styleId="16">
    <w:name w:val="HTML Keyboard"/>
    <w:basedOn w:val="7"/>
    <w:semiHidden/>
    <w:unhideWhenUsed/>
    <w:uiPriority w:val="99"/>
    <w:rPr>
      <w:rFonts w:ascii="monospace" w:hAnsi="monospace" w:eastAsia="monospace" w:cs="monospace"/>
      <w:sz w:val="20"/>
    </w:rPr>
  </w:style>
  <w:style w:type="character" w:styleId="17">
    <w:name w:val="HTML Sample"/>
    <w:basedOn w:val="7"/>
    <w:semiHidden/>
    <w:unhideWhenUsed/>
    <w:uiPriority w:val="99"/>
    <w:rPr>
      <w:rFonts w:hint="default" w:ascii="monospace" w:hAnsi="monospace" w:eastAsia="monospace" w:cs="monospace"/>
    </w:rPr>
  </w:style>
  <w:style w:type="character" w:customStyle="1" w:styleId="18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3 Char"/>
    <w:basedOn w:val="7"/>
    <w:link w:val="2"/>
    <w:qFormat/>
    <w:uiPriority w:val="0"/>
    <w:rPr>
      <w:b/>
      <w:kern w:val="2"/>
      <w:sz w:val="32"/>
      <w:szCs w:val="32"/>
    </w:rPr>
  </w:style>
  <w:style w:type="character" w:customStyle="1" w:styleId="21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cqmzj</Company>
  <Pages>2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2020-06-04T05:39:00Z</dcterms:created>
  <dc:creator>Administrator</dc:creator>
  <cp:lastModifiedBy>重庆合信工程咨询有限公司</cp:lastModifiedBy>
  <cp:lastPrinted>2020-10-12T02:05:00Z</cp:lastPrinted>
  <dcterms:modified xsi:type="dcterms:W3CDTF">2020-12-01T07:54:16Z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