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spacing w:line="700" w:lineRule="exact"/>
        <w:textAlignment w:val="baseline"/>
        <w:rPr>
          <w:rFonts w:ascii="宋体" w:hAnsi="宋体" w:cs="宋体"/>
          <w:b/>
          <w:bCs/>
          <w:sz w:val="36"/>
          <w:szCs w:val="36"/>
        </w:rPr>
      </w:pPr>
      <w:bookmarkStart w:id="0" w:name="_Toc291847016"/>
      <w:r>
        <w:rPr>
          <w:rFonts w:hint="eastAsia" w:ascii="宋体" w:hAnsi="宋体" w:cs="宋体"/>
          <w:b/>
          <w:bCs/>
          <w:sz w:val="36"/>
          <w:szCs w:val="36"/>
        </w:rPr>
        <w:t>项目名称：水土园区城市品质提升（云汉大道、方正大道、悦复大道三线品质提升）-云汉大道110千伏电力通道工程</w:t>
      </w:r>
    </w:p>
    <w:p>
      <w:pPr>
        <w:pStyle w:val="128"/>
        <w:spacing w:line="700" w:lineRule="exact"/>
        <w:textAlignment w:val="baseline"/>
        <w:rPr>
          <w:rFonts w:ascii="宋体" w:hAnsi="宋体" w:cs="宋体"/>
          <w:b/>
          <w:bCs/>
          <w:sz w:val="36"/>
          <w:szCs w:val="36"/>
        </w:rPr>
      </w:pPr>
      <w:r>
        <w:rPr>
          <w:rFonts w:hint="eastAsia" w:ascii="宋体" w:hAnsi="宋体" w:cs="宋体"/>
          <w:b/>
          <w:bCs/>
          <w:sz w:val="36"/>
          <w:szCs w:val="36"/>
        </w:rPr>
        <w:t>项目编号：</w:t>
      </w:r>
      <w:r>
        <w:rPr>
          <w:rFonts w:ascii="宋体" w:hAnsi="宋体" w:cs="宋体"/>
          <w:b/>
          <w:bCs/>
          <w:sz w:val="36"/>
          <w:szCs w:val="36"/>
        </w:rPr>
        <w:t>JR-渝A-2021招字-004</w:t>
      </w:r>
    </w:p>
    <w:p>
      <w:pPr>
        <w:pStyle w:val="128"/>
        <w:spacing w:line="288" w:lineRule="auto"/>
        <w:textAlignment w:val="baseline"/>
        <w:rPr>
          <w:rFonts w:ascii="宋体" w:hAnsi="宋体" w:cs="MingLiU"/>
          <w:shd w:val="clear" w:color="auto" w:fill="FFFFFF"/>
        </w:rPr>
      </w:pPr>
    </w:p>
    <w:p>
      <w:pPr>
        <w:autoSpaceDE w:val="0"/>
        <w:autoSpaceDN w:val="0"/>
        <w:adjustRightInd w:val="0"/>
        <w:snapToGrid w:val="0"/>
        <w:spacing w:line="360" w:lineRule="auto"/>
        <w:ind w:right="105"/>
        <w:jc w:val="right"/>
        <w:rPr>
          <w:rFonts w:ascii="宋体" w:hAnsi="宋体"/>
          <w:b/>
        </w:rPr>
      </w:pPr>
    </w:p>
    <w:p>
      <w:pPr>
        <w:pStyle w:val="2"/>
        <w:ind w:firstLine="210"/>
      </w:pPr>
    </w:p>
    <w:p>
      <w:pPr>
        <w:pStyle w:val="2"/>
        <w:ind w:firstLine="210"/>
      </w:pPr>
    </w:p>
    <w:p>
      <w:pPr>
        <w:autoSpaceDE w:val="0"/>
        <w:autoSpaceDN w:val="0"/>
        <w:adjustRightInd w:val="0"/>
        <w:snapToGrid w:val="0"/>
        <w:spacing w:line="360" w:lineRule="auto"/>
        <w:rPr>
          <w:rFonts w:ascii="宋体" w:hAnsi="宋体" w:cs="MingLiU"/>
          <w:shd w:val="clear" w:color="auto" w:fill="FFFFFF"/>
        </w:rPr>
      </w:pPr>
    </w:p>
    <w:p>
      <w:pPr>
        <w:autoSpaceDE w:val="0"/>
        <w:autoSpaceDN w:val="0"/>
        <w:adjustRightInd w:val="0"/>
        <w:snapToGrid w:val="0"/>
        <w:spacing w:line="360" w:lineRule="auto"/>
        <w:jc w:val="center"/>
        <w:rPr>
          <w:rFonts w:ascii="宋体" w:hAnsi="宋体" w:cs="MingLiU"/>
          <w:shd w:val="clear" w:color="auto" w:fill="FFFFFF"/>
        </w:rPr>
      </w:pPr>
      <w:r>
        <w:rPr>
          <w:rFonts w:ascii="宋体" w:hAnsi="宋体"/>
          <w:b/>
          <w:sz w:val="52"/>
          <w:szCs w:val="52"/>
        </w:rPr>
        <w:drawing>
          <wp:inline distT="0" distB="0" distL="0" distR="0">
            <wp:extent cx="828675" cy="82867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srcRect/>
                    <a:stretch>
                      <a:fillRect/>
                    </a:stretch>
                  </pic:blipFill>
                  <pic:spPr>
                    <a:xfrm>
                      <a:off x="0" y="0"/>
                      <a:ext cx="828675" cy="828675"/>
                    </a:xfrm>
                    <a:prstGeom prst="rect">
                      <a:avLst/>
                    </a:prstGeom>
                    <a:noFill/>
                    <a:ln w="9525">
                      <a:noFill/>
                      <a:miter lim="800000"/>
                      <a:headEnd/>
                      <a:tailEnd/>
                    </a:ln>
                  </pic:spPr>
                </pic:pic>
              </a:graphicData>
            </a:graphic>
          </wp:inline>
        </w:drawing>
      </w:r>
    </w:p>
    <w:p>
      <w:pPr>
        <w:autoSpaceDE w:val="0"/>
        <w:autoSpaceDN w:val="0"/>
        <w:adjustRightInd w:val="0"/>
        <w:snapToGrid w:val="0"/>
        <w:spacing w:line="360" w:lineRule="auto"/>
        <w:rPr>
          <w:rFonts w:ascii="宋体" w:hAnsi="宋体" w:cs="MingLiU"/>
          <w:shd w:val="clear" w:color="auto" w:fill="FFFFFF"/>
        </w:rPr>
      </w:pPr>
    </w:p>
    <w:p>
      <w:pPr>
        <w:autoSpaceDE w:val="0"/>
        <w:autoSpaceDN w:val="0"/>
        <w:adjustRightInd w:val="0"/>
        <w:snapToGrid w:val="0"/>
        <w:spacing w:line="360" w:lineRule="auto"/>
        <w:rPr>
          <w:rFonts w:ascii="宋体" w:hAnsi="宋体" w:cs="MingLiU"/>
          <w:shd w:val="clear" w:color="auto" w:fill="FFFFFF"/>
        </w:rPr>
      </w:pPr>
    </w:p>
    <w:p>
      <w:pPr>
        <w:adjustRightInd w:val="0"/>
        <w:snapToGrid w:val="0"/>
        <w:spacing w:line="500" w:lineRule="atLeast"/>
        <w:jc w:val="center"/>
        <w:rPr>
          <w:rFonts w:ascii="宋体" w:hAnsi="宋体" w:cs="宋体"/>
          <w:b/>
          <w:bCs/>
          <w:spacing w:val="60"/>
          <w:sz w:val="84"/>
          <w:szCs w:val="84"/>
        </w:rPr>
      </w:pPr>
      <w:r>
        <w:rPr>
          <w:rFonts w:hint="eastAsia" w:ascii="宋体" w:hAnsi="宋体" w:cs="宋体"/>
          <w:b/>
          <w:bCs/>
          <w:spacing w:val="60"/>
          <w:sz w:val="84"/>
          <w:szCs w:val="84"/>
        </w:rPr>
        <w:t>竞争性比选文件</w:t>
      </w:r>
    </w:p>
    <w:p>
      <w:pPr>
        <w:autoSpaceDE w:val="0"/>
        <w:autoSpaceDN w:val="0"/>
        <w:adjustRightInd w:val="0"/>
        <w:snapToGrid w:val="0"/>
        <w:spacing w:line="360" w:lineRule="auto"/>
        <w:jc w:val="center"/>
        <w:rPr>
          <w:rFonts w:ascii="宋体" w:hAnsi="宋体" w:cs="MingLiU"/>
          <w:shd w:val="clear" w:color="auto" w:fill="FFFFFF"/>
        </w:rPr>
      </w:pPr>
    </w:p>
    <w:p>
      <w:pPr>
        <w:autoSpaceDE w:val="0"/>
        <w:autoSpaceDN w:val="0"/>
        <w:adjustRightInd w:val="0"/>
        <w:snapToGrid w:val="0"/>
        <w:spacing w:line="360" w:lineRule="auto"/>
        <w:jc w:val="center"/>
        <w:rPr>
          <w:rFonts w:ascii="宋体" w:hAnsi="宋体" w:cs="MingLiU"/>
          <w:shd w:val="clear" w:color="auto" w:fill="FFFFFF"/>
        </w:rPr>
      </w:pPr>
    </w:p>
    <w:p>
      <w:pPr>
        <w:autoSpaceDE w:val="0"/>
        <w:autoSpaceDN w:val="0"/>
        <w:adjustRightInd w:val="0"/>
        <w:snapToGrid w:val="0"/>
        <w:spacing w:line="360" w:lineRule="auto"/>
        <w:jc w:val="center"/>
        <w:rPr>
          <w:rFonts w:ascii="宋体" w:hAnsi="宋体" w:cs="MingLiU"/>
          <w:shd w:val="clear" w:color="auto" w:fill="FFFFFF"/>
        </w:rPr>
      </w:pPr>
    </w:p>
    <w:p>
      <w:pPr>
        <w:autoSpaceDE w:val="0"/>
        <w:autoSpaceDN w:val="0"/>
        <w:adjustRightInd w:val="0"/>
        <w:snapToGrid w:val="0"/>
        <w:spacing w:line="360" w:lineRule="auto"/>
        <w:rPr>
          <w:rFonts w:ascii="宋体" w:hAnsi="宋体" w:cs="MingLiU"/>
          <w:shd w:val="clear" w:color="auto" w:fill="FFFFFF"/>
        </w:rPr>
      </w:pPr>
    </w:p>
    <w:p>
      <w:pPr>
        <w:pStyle w:val="2"/>
        <w:ind w:firstLine="210"/>
        <w:rPr>
          <w:rFonts w:ascii="宋体" w:hAnsi="宋体" w:cs="MingLiU"/>
          <w:shd w:val="clear" w:color="auto" w:fill="FFFFFF"/>
        </w:rPr>
      </w:pPr>
    </w:p>
    <w:p>
      <w:pPr>
        <w:pStyle w:val="2"/>
        <w:ind w:firstLine="210"/>
        <w:rPr>
          <w:rFonts w:ascii="宋体" w:hAnsi="宋体" w:cs="MingLiU"/>
          <w:shd w:val="clear" w:color="auto" w:fill="FFFFFF"/>
        </w:rPr>
      </w:pPr>
    </w:p>
    <w:p>
      <w:pPr>
        <w:pStyle w:val="2"/>
        <w:ind w:firstLine="210"/>
        <w:rPr>
          <w:rFonts w:ascii="宋体" w:hAnsi="宋体" w:cs="MingLiU"/>
          <w:shd w:val="clear" w:color="auto" w:fill="FFFFFF"/>
        </w:rPr>
      </w:pPr>
    </w:p>
    <w:p>
      <w:pPr>
        <w:pStyle w:val="2"/>
        <w:ind w:firstLine="210"/>
        <w:rPr>
          <w:rFonts w:ascii="宋体" w:hAnsi="宋体" w:cs="MingLiU"/>
          <w:shd w:val="clear" w:color="auto" w:fill="FFFFFF"/>
        </w:rPr>
      </w:pPr>
    </w:p>
    <w:p>
      <w:pPr>
        <w:tabs>
          <w:tab w:val="left" w:pos="6252"/>
        </w:tabs>
        <w:autoSpaceDE w:val="0"/>
        <w:autoSpaceDN w:val="0"/>
        <w:adjustRightInd w:val="0"/>
        <w:snapToGrid w:val="0"/>
        <w:spacing w:line="360" w:lineRule="auto"/>
        <w:jc w:val="left"/>
        <w:rPr>
          <w:rFonts w:ascii="宋体" w:hAnsi="宋体"/>
          <w:b/>
          <w:w w:val="99"/>
          <w:kern w:val="0"/>
          <w:sz w:val="28"/>
          <w:u w:val="single"/>
        </w:rPr>
      </w:pPr>
      <w:r>
        <w:rPr>
          <w:rFonts w:hint="eastAsia" w:ascii="宋体" w:hAnsi="宋体"/>
          <w:b/>
          <w:w w:val="99"/>
          <w:kern w:val="0"/>
          <w:sz w:val="28"/>
        </w:rPr>
        <w:t>比选</w:t>
      </w:r>
      <w:r>
        <w:rPr>
          <w:rFonts w:ascii="宋体" w:hAnsi="宋体"/>
          <w:b/>
          <w:w w:val="99"/>
          <w:kern w:val="0"/>
          <w:sz w:val="28"/>
        </w:rPr>
        <w:t>人</w:t>
      </w:r>
      <w:r>
        <w:rPr>
          <w:rFonts w:ascii="宋体" w:hAnsi="宋体"/>
          <w:b/>
          <w:spacing w:val="8"/>
          <w:kern w:val="0"/>
          <w:sz w:val="28"/>
        </w:rPr>
        <w:t>：</w:t>
      </w:r>
      <w:r>
        <w:rPr>
          <w:rFonts w:hint="eastAsia" w:ascii="宋体" w:hAnsi="宋体"/>
          <w:b/>
          <w:kern w:val="0"/>
          <w:sz w:val="28"/>
          <w:u w:val="single"/>
        </w:rPr>
        <w:t>重庆两江新区水土高新技术产业园建设投资有限公司</w:t>
      </w:r>
      <w:r>
        <w:rPr>
          <w:rFonts w:ascii="宋体" w:hAnsi="宋体"/>
          <w:b/>
          <w:w w:val="99"/>
          <w:kern w:val="0"/>
          <w:sz w:val="28"/>
        </w:rPr>
        <w:t>（</w:t>
      </w:r>
      <w:r>
        <w:rPr>
          <w:rFonts w:ascii="宋体" w:hAnsi="宋体"/>
          <w:b/>
          <w:kern w:val="0"/>
          <w:sz w:val="28"/>
        </w:rPr>
        <w:t>盖单位公章</w:t>
      </w:r>
      <w:r>
        <w:rPr>
          <w:rFonts w:ascii="宋体" w:hAnsi="宋体"/>
          <w:b/>
          <w:w w:val="99"/>
          <w:kern w:val="0"/>
          <w:sz w:val="28"/>
        </w:rPr>
        <w:t>）</w:t>
      </w:r>
    </w:p>
    <w:p>
      <w:pPr>
        <w:tabs>
          <w:tab w:val="left" w:pos="6252"/>
        </w:tabs>
        <w:autoSpaceDE w:val="0"/>
        <w:autoSpaceDN w:val="0"/>
        <w:adjustRightInd w:val="0"/>
        <w:snapToGrid w:val="0"/>
        <w:spacing w:line="360" w:lineRule="auto"/>
        <w:rPr>
          <w:rFonts w:ascii="宋体" w:hAnsi="宋体"/>
          <w:b/>
          <w:w w:val="99"/>
          <w:kern w:val="0"/>
          <w:sz w:val="28"/>
        </w:rPr>
      </w:pPr>
    </w:p>
    <w:p>
      <w:pPr>
        <w:tabs>
          <w:tab w:val="left" w:pos="6252"/>
        </w:tabs>
        <w:autoSpaceDE w:val="0"/>
        <w:autoSpaceDN w:val="0"/>
        <w:adjustRightInd w:val="0"/>
        <w:snapToGrid w:val="0"/>
        <w:spacing w:line="360" w:lineRule="auto"/>
        <w:rPr>
          <w:rFonts w:ascii="宋体" w:hAnsi="宋体"/>
          <w:b/>
          <w:sz w:val="28"/>
          <w:szCs w:val="28"/>
        </w:rPr>
      </w:pPr>
      <w:r>
        <w:rPr>
          <w:rFonts w:hint="eastAsia" w:ascii="宋体" w:hAnsi="宋体"/>
          <w:b/>
          <w:w w:val="99"/>
          <w:kern w:val="0"/>
          <w:sz w:val="28"/>
        </w:rPr>
        <w:t>比选</w:t>
      </w:r>
      <w:r>
        <w:rPr>
          <w:rFonts w:ascii="宋体" w:hAnsi="宋体"/>
          <w:b/>
          <w:spacing w:val="8"/>
          <w:kern w:val="0"/>
          <w:sz w:val="28"/>
        </w:rPr>
        <w:t>代理机构：</w:t>
      </w:r>
      <w:r>
        <w:rPr>
          <w:rFonts w:hint="eastAsia" w:ascii="宋体" w:hAnsi="宋体"/>
          <w:b/>
          <w:kern w:val="0"/>
          <w:sz w:val="28"/>
          <w:u w:val="single"/>
        </w:rPr>
        <w:t>福建省建融工程咨询有限公司</w:t>
      </w:r>
      <w:r>
        <w:rPr>
          <w:rFonts w:ascii="宋体" w:hAnsi="宋体"/>
          <w:b/>
          <w:kern w:val="0"/>
          <w:sz w:val="28"/>
        </w:rPr>
        <w:t>（盖单位公章）</w:t>
      </w:r>
    </w:p>
    <w:p>
      <w:pPr>
        <w:pStyle w:val="3"/>
        <w:spacing w:line="360" w:lineRule="auto"/>
        <w:jc w:val="center"/>
        <w:rPr>
          <w:rFonts w:ascii="宋体" w:hAnsi="宋体" w:eastAsia="宋体" w:cs="Times New Roman"/>
          <w:b/>
          <w:sz w:val="28"/>
          <w:szCs w:val="28"/>
        </w:rPr>
      </w:pPr>
    </w:p>
    <w:p>
      <w:pPr>
        <w:pStyle w:val="3"/>
        <w:spacing w:line="360" w:lineRule="auto"/>
        <w:jc w:val="center"/>
        <w:rPr>
          <w:rFonts w:ascii="宋体" w:hAnsi="宋体" w:eastAsia="宋体" w:cs="Times New Roman"/>
          <w:b/>
          <w:sz w:val="28"/>
          <w:szCs w:val="28"/>
        </w:rPr>
      </w:pPr>
      <w:r>
        <w:rPr>
          <w:rFonts w:ascii="宋体" w:hAnsi="宋体" w:eastAsia="宋体" w:cs="Times New Roman"/>
          <w:b/>
          <w:sz w:val="28"/>
          <w:szCs w:val="28"/>
        </w:rPr>
        <w:t>二〇二</w:t>
      </w:r>
      <w:r>
        <w:rPr>
          <w:rFonts w:hint="eastAsia" w:ascii="宋体" w:hAnsi="宋体" w:eastAsia="宋体" w:cs="Times New Roman"/>
          <w:b/>
          <w:sz w:val="28"/>
          <w:szCs w:val="28"/>
        </w:rPr>
        <w:t>一</w:t>
      </w:r>
      <w:r>
        <w:rPr>
          <w:rFonts w:ascii="宋体" w:hAnsi="宋体" w:eastAsia="宋体" w:cs="Times New Roman"/>
          <w:b/>
          <w:sz w:val="28"/>
          <w:szCs w:val="28"/>
        </w:rPr>
        <w:t>年</w:t>
      </w:r>
      <w:r>
        <w:rPr>
          <w:rFonts w:hint="eastAsia" w:ascii="宋体" w:hAnsi="宋体" w:eastAsia="宋体" w:cs="Times New Roman"/>
          <w:b/>
          <w:sz w:val="28"/>
          <w:szCs w:val="28"/>
        </w:rPr>
        <w:t>一</w:t>
      </w:r>
      <w:r>
        <w:rPr>
          <w:rFonts w:ascii="宋体" w:hAnsi="宋体" w:eastAsia="宋体" w:cs="Times New Roman"/>
          <w:b/>
          <w:sz w:val="28"/>
          <w:szCs w:val="28"/>
        </w:rPr>
        <w:t>月</w:t>
      </w:r>
    </w:p>
    <w:p>
      <w:pPr>
        <w:widowControl/>
        <w:spacing w:line="288" w:lineRule="auto"/>
        <w:jc w:val="left"/>
        <w:rPr>
          <w:rFonts w:ascii="宋体" w:hAnsi="宋体" w:cs="MingLiU"/>
          <w:b/>
          <w:kern w:val="0"/>
          <w:position w:val="-2"/>
          <w:sz w:val="32"/>
          <w:szCs w:val="32"/>
        </w:rPr>
        <w:sectPr>
          <w:footerReference r:id="rId3" w:type="default"/>
          <w:pgSz w:w="11907" w:h="16839"/>
          <w:pgMar w:top="1480" w:right="1247" w:bottom="992" w:left="1247" w:header="720" w:footer="720" w:gutter="0"/>
          <w:pgNumType w:fmt="numberInDash" w:start="0"/>
          <w:cols w:space="720" w:num="1"/>
          <w:docGrid w:type="lines" w:linePitch="312" w:charSpace="0"/>
        </w:sectPr>
      </w:pPr>
    </w:p>
    <w:p>
      <w:pPr>
        <w:spacing w:line="480" w:lineRule="auto"/>
        <w:jc w:val="center"/>
        <w:rPr>
          <w:rFonts w:ascii="宋体" w:hAnsi="宋体" w:cs="宋体"/>
          <w:b/>
          <w:kern w:val="0"/>
          <w:sz w:val="36"/>
          <w:szCs w:val="36"/>
        </w:rPr>
      </w:pPr>
      <w:r>
        <w:rPr>
          <w:rFonts w:hint="eastAsia" w:ascii="宋体" w:hAnsi="宋体" w:cs="宋体"/>
          <w:b/>
          <w:kern w:val="0"/>
          <w:sz w:val="36"/>
          <w:szCs w:val="36"/>
        </w:rPr>
        <w:t>目 录</w:t>
      </w:r>
    </w:p>
    <w:p>
      <w:pPr>
        <w:pStyle w:val="33"/>
        <w:tabs>
          <w:tab w:val="right" w:leader="dot" w:pos="9629"/>
        </w:tabs>
        <w:rPr>
          <w:rFonts w:ascii="宋体" w:hAnsi="宋体" w:eastAsia="宋体" w:cstheme="minorBidi"/>
          <w:b w:val="0"/>
          <w:bCs w:val="0"/>
          <w:caps w:val="0"/>
          <w:sz w:val="21"/>
          <w:szCs w:val="22"/>
        </w:rPr>
      </w:pPr>
      <w:r>
        <w:rPr>
          <w:rFonts w:hint="eastAsia" w:ascii="宋体" w:hAnsi="宋体" w:eastAsia="宋体" w:cs="宋体"/>
          <w:bCs w:val="0"/>
          <w:caps w:val="0"/>
          <w:sz w:val="30"/>
          <w:szCs w:val="30"/>
        </w:rPr>
        <w:fldChar w:fldCharType="begin"/>
      </w:r>
      <w:r>
        <w:rPr>
          <w:rFonts w:hint="eastAsia" w:ascii="宋体" w:hAnsi="宋体" w:eastAsia="宋体" w:cs="宋体"/>
          <w:bCs w:val="0"/>
          <w:caps w:val="0"/>
          <w:kern w:val="0"/>
          <w:sz w:val="30"/>
          <w:szCs w:val="30"/>
        </w:rPr>
        <w:instrText xml:space="preserve"> TOC \o "1-3" \h \z \u </w:instrText>
      </w:r>
      <w:r>
        <w:rPr>
          <w:rFonts w:hint="eastAsia" w:ascii="宋体" w:hAnsi="宋体" w:eastAsia="宋体" w:cs="宋体"/>
          <w:bCs w:val="0"/>
          <w:caps w:val="0"/>
          <w:sz w:val="30"/>
          <w:szCs w:val="30"/>
        </w:rPr>
        <w:fldChar w:fldCharType="separate"/>
      </w:r>
      <w:r>
        <w:fldChar w:fldCharType="begin"/>
      </w:r>
      <w:r>
        <w:instrText xml:space="preserve"> HYPERLINK \l "_Toc54249431" </w:instrText>
      </w:r>
      <w:r>
        <w:fldChar w:fldCharType="separate"/>
      </w:r>
      <w:r>
        <w:rPr>
          <w:rStyle w:val="56"/>
          <w:rFonts w:hint="eastAsia" w:ascii="宋体" w:hAnsi="宋体" w:eastAsia="宋体" w:cs="宋体"/>
          <w:snapToGrid w:val="0"/>
          <w:color w:val="auto"/>
          <w:kern w:val="0"/>
        </w:rPr>
        <w:t>第一章</w:t>
      </w:r>
      <w:r>
        <w:rPr>
          <w:rStyle w:val="56"/>
          <w:rFonts w:ascii="宋体" w:hAnsi="宋体" w:eastAsia="宋体" w:cs="宋体"/>
          <w:snapToGrid w:val="0"/>
          <w:color w:val="auto"/>
          <w:kern w:val="0"/>
        </w:rPr>
        <w:t xml:space="preserve">  </w:t>
      </w:r>
      <w:r>
        <w:rPr>
          <w:rStyle w:val="56"/>
          <w:rFonts w:hint="eastAsia" w:ascii="宋体" w:hAnsi="宋体" w:eastAsia="宋体" w:cs="宋体"/>
          <w:snapToGrid w:val="0"/>
          <w:color w:val="auto"/>
          <w:kern w:val="0"/>
        </w:rPr>
        <w:t>比选公告</w:t>
      </w:r>
      <w:r>
        <w:rPr>
          <w:rFonts w:ascii="宋体" w:hAnsi="宋体" w:eastAsia="宋体"/>
        </w:rPr>
        <w:tab/>
      </w:r>
      <w:r>
        <w:rPr>
          <w:rFonts w:ascii="宋体" w:hAnsi="宋体" w:eastAsia="宋体"/>
        </w:rPr>
        <w:fldChar w:fldCharType="begin"/>
      </w:r>
      <w:r>
        <w:rPr>
          <w:rFonts w:ascii="宋体" w:hAnsi="宋体" w:eastAsia="宋体"/>
        </w:rPr>
        <w:instrText xml:space="preserve"> PAGEREF _Toc54249431 \h </w:instrText>
      </w:r>
      <w:r>
        <w:rPr>
          <w:rFonts w:ascii="宋体" w:hAnsi="宋体" w:eastAsia="宋体"/>
        </w:rPr>
        <w:fldChar w:fldCharType="separate"/>
      </w:r>
      <w:r>
        <w:rPr>
          <w:rFonts w:ascii="宋体" w:hAnsi="宋体" w:eastAsia="宋体"/>
        </w:rPr>
        <w:t>- 2 -</w:t>
      </w:r>
      <w:r>
        <w:rPr>
          <w:rFonts w:ascii="宋体" w:hAnsi="宋体" w:eastAsia="宋体"/>
        </w:rPr>
        <w:fldChar w:fldCharType="end"/>
      </w:r>
      <w:r>
        <w:rPr>
          <w:rFonts w:ascii="宋体" w:hAnsi="宋体" w:eastAsia="宋体"/>
        </w:rPr>
        <w:fldChar w:fldCharType="end"/>
      </w:r>
    </w:p>
    <w:p>
      <w:pPr>
        <w:pStyle w:val="33"/>
        <w:tabs>
          <w:tab w:val="right" w:leader="dot" w:pos="9629"/>
        </w:tabs>
        <w:rPr>
          <w:rFonts w:ascii="宋体" w:hAnsi="宋体" w:eastAsia="宋体" w:cstheme="minorBidi"/>
          <w:b w:val="0"/>
          <w:bCs w:val="0"/>
          <w:caps w:val="0"/>
          <w:sz w:val="21"/>
          <w:szCs w:val="22"/>
        </w:rPr>
      </w:pPr>
      <w:r>
        <w:fldChar w:fldCharType="begin"/>
      </w:r>
      <w:r>
        <w:instrText xml:space="preserve"> HYPERLINK \l "_Toc54249437" </w:instrText>
      </w:r>
      <w:r>
        <w:fldChar w:fldCharType="separate"/>
      </w:r>
      <w:r>
        <w:rPr>
          <w:rStyle w:val="56"/>
          <w:rFonts w:hint="eastAsia" w:ascii="宋体" w:hAnsi="宋体" w:eastAsia="宋体" w:cs="宋体"/>
          <w:snapToGrid w:val="0"/>
          <w:color w:val="auto"/>
          <w:kern w:val="0"/>
        </w:rPr>
        <w:t>第二章</w:t>
      </w:r>
      <w:r>
        <w:rPr>
          <w:rStyle w:val="56"/>
          <w:rFonts w:ascii="宋体" w:hAnsi="宋体" w:eastAsia="宋体" w:cs="宋体"/>
          <w:snapToGrid w:val="0"/>
          <w:color w:val="auto"/>
          <w:kern w:val="0"/>
        </w:rPr>
        <w:t xml:space="preserve">  </w:t>
      </w:r>
      <w:r>
        <w:rPr>
          <w:rStyle w:val="56"/>
          <w:rFonts w:hint="eastAsia" w:ascii="宋体" w:hAnsi="宋体" w:eastAsia="宋体" w:cs="宋体"/>
          <w:snapToGrid w:val="0"/>
          <w:color w:val="auto"/>
          <w:kern w:val="0"/>
        </w:rPr>
        <w:t>竞标人须知</w:t>
      </w:r>
      <w:r>
        <w:rPr>
          <w:rFonts w:ascii="宋体" w:hAnsi="宋体" w:eastAsia="宋体"/>
        </w:rPr>
        <w:tab/>
      </w:r>
      <w:r>
        <w:rPr>
          <w:rFonts w:ascii="宋体" w:hAnsi="宋体" w:eastAsia="宋体"/>
        </w:rPr>
        <w:fldChar w:fldCharType="begin"/>
      </w:r>
      <w:r>
        <w:rPr>
          <w:rFonts w:ascii="宋体" w:hAnsi="宋体" w:eastAsia="宋体"/>
        </w:rPr>
        <w:instrText xml:space="preserve"> PAGEREF _Toc54249437 \h </w:instrText>
      </w:r>
      <w:r>
        <w:rPr>
          <w:rFonts w:ascii="宋体" w:hAnsi="宋体" w:eastAsia="宋体"/>
        </w:rPr>
        <w:fldChar w:fldCharType="separate"/>
      </w:r>
      <w:r>
        <w:rPr>
          <w:rFonts w:ascii="宋体" w:hAnsi="宋体" w:eastAsia="宋体"/>
        </w:rPr>
        <w:t>- 4 -</w:t>
      </w:r>
      <w:r>
        <w:rPr>
          <w:rFonts w:ascii="宋体" w:hAnsi="宋体" w:eastAsia="宋体"/>
        </w:rPr>
        <w:fldChar w:fldCharType="end"/>
      </w:r>
      <w:r>
        <w:rPr>
          <w:rFonts w:ascii="宋体" w:hAnsi="宋体" w:eastAsia="宋体"/>
        </w:rPr>
        <w:fldChar w:fldCharType="end"/>
      </w:r>
    </w:p>
    <w:p>
      <w:pPr>
        <w:pStyle w:val="33"/>
        <w:tabs>
          <w:tab w:val="right" w:leader="dot" w:pos="9629"/>
        </w:tabs>
        <w:rPr>
          <w:rFonts w:ascii="宋体" w:hAnsi="宋体" w:eastAsia="宋体" w:cstheme="minorBidi"/>
          <w:b w:val="0"/>
          <w:bCs w:val="0"/>
          <w:caps w:val="0"/>
          <w:sz w:val="21"/>
          <w:szCs w:val="22"/>
        </w:rPr>
      </w:pPr>
      <w:r>
        <w:fldChar w:fldCharType="begin"/>
      </w:r>
      <w:r>
        <w:instrText xml:space="preserve"> HYPERLINK \l "_Toc54249491" </w:instrText>
      </w:r>
      <w:r>
        <w:fldChar w:fldCharType="separate"/>
      </w:r>
      <w:r>
        <w:rPr>
          <w:rStyle w:val="56"/>
          <w:rFonts w:hint="eastAsia" w:ascii="宋体" w:hAnsi="宋体" w:eastAsia="宋体"/>
          <w:color w:val="auto"/>
        </w:rPr>
        <w:t>第三章</w:t>
      </w:r>
      <w:r>
        <w:rPr>
          <w:rStyle w:val="56"/>
          <w:rFonts w:ascii="宋体" w:hAnsi="宋体" w:eastAsia="宋体"/>
          <w:color w:val="auto"/>
        </w:rPr>
        <w:t xml:space="preserve"> </w:t>
      </w:r>
      <w:r>
        <w:rPr>
          <w:rStyle w:val="56"/>
          <w:rFonts w:hint="eastAsia" w:ascii="宋体" w:hAnsi="宋体" w:eastAsia="宋体"/>
          <w:color w:val="auto"/>
        </w:rPr>
        <w:t>评标办法</w:t>
      </w:r>
      <w:r>
        <w:rPr>
          <w:rStyle w:val="56"/>
          <w:rFonts w:ascii="宋体" w:hAnsi="宋体" w:eastAsia="宋体"/>
          <w:color w:val="auto"/>
        </w:rPr>
        <w:t>(</w:t>
      </w:r>
      <w:r>
        <w:rPr>
          <w:rStyle w:val="56"/>
          <w:rFonts w:hint="eastAsia" w:ascii="宋体" w:hAnsi="宋体" w:eastAsia="宋体"/>
          <w:color w:val="auto"/>
          <w:kern w:val="0"/>
        </w:rPr>
        <w:t>经评审的最低价竞标法</w:t>
      </w:r>
      <w:r>
        <w:rPr>
          <w:rStyle w:val="56"/>
          <w:rFonts w:ascii="宋体" w:hAnsi="宋体" w:eastAsia="宋体"/>
          <w:color w:val="auto"/>
        </w:rPr>
        <w:t>)</w:t>
      </w:r>
      <w:r>
        <w:rPr>
          <w:rFonts w:ascii="宋体" w:hAnsi="宋体" w:eastAsia="宋体"/>
        </w:rPr>
        <w:tab/>
      </w:r>
      <w:r>
        <w:rPr>
          <w:rFonts w:ascii="宋体" w:hAnsi="宋体" w:eastAsia="宋体"/>
        </w:rPr>
        <w:fldChar w:fldCharType="begin"/>
      </w:r>
      <w:r>
        <w:rPr>
          <w:rFonts w:ascii="宋体" w:hAnsi="宋体" w:eastAsia="宋体"/>
        </w:rPr>
        <w:instrText xml:space="preserve"> PAGEREF _Toc54249491 \h </w:instrText>
      </w:r>
      <w:r>
        <w:rPr>
          <w:rFonts w:ascii="宋体" w:hAnsi="宋体" w:eastAsia="宋体"/>
        </w:rPr>
        <w:fldChar w:fldCharType="separate"/>
      </w:r>
      <w:r>
        <w:rPr>
          <w:rFonts w:ascii="宋体" w:hAnsi="宋体" w:eastAsia="宋体"/>
        </w:rPr>
        <w:t>39</w:t>
      </w:r>
      <w:r>
        <w:rPr>
          <w:rFonts w:ascii="宋体" w:hAnsi="宋体" w:eastAsia="宋体"/>
        </w:rPr>
        <w:fldChar w:fldCharType="end"/>
      </w:r>
      <w:r>
        <w:rPr>
          <w:rFonts w:ascii="宋体" w:hAnsi="宋体" w:eastAsia="宋体"/>
        </w:rPr>
        <w:fldChar w:fldCharType="end"/>
      </w:r>
    </w:p>
    <w:p>
      <w:pPr>
        <w:pStyle w:val="33"/>
        <w:tabs>
          <w:tab w:val="right" w:leader="dot" w:pos="9629"/>
        </w:tabs>
        <w:rPr>
          <w:rFonts w:ascii="宋体" w:hAnsi="宋体" w:eastAsia="宋体" w:cstheme="minorBidi"/>
          <w:b w:val="0"/>
          <w:bCs w:val="0"/>
          <w:caps w:val="0"/>
          <w:sz w:val="21"/>
          <w:szCs w:val="22"/>
        </w:rPr>
      </w:pPr>
      <w:r>
        <w:fldChar w:fldCharType="begin"/>
      </w:r>
      <w:r>
        <w:instrText xml:space="preserve"> HYPERLINK \l "_Toc54249504" </w:instrText>
      </w:r>
      <w:r>
        <w:fldChar w:fldCharType="separate"/>
      </w:r>
      <w:r>
        <w:rPr>
          <w:rStyle w:val="56"/>
          <w:rFonts w:hint="eastAsia" w:ascii="宋体" w:hAnsi="宋体" w:eastAsia="宋体"/>
          <w:color w:val="auto"/>
        </w:rPr>
        <w:t>第四章</w:t>
      </w:r>
      <w:r>
        <w:rPr>
          <w:rStyle w:val="56"/>
          <w:rFonts w:ascii="宋体" w:hAnsi="宋体" w:eastAsia="宋体"/>
          <w:color w:val="auto"/>
        </w:rPr>
        <w:t xml:space="preserve"> </w:t>
      </w:r>
      <w:r>
        <w:rPr>
          <w:rStyle w:val="56"/>
          <w:rFonts w:hint="eastAsia" w:ascii="宋体" w:hAnsi="宋体" w:eastAsia="宋体"/>
          <w:color w:val="auto"/>
        </w:rPr>
        <w:t>合同条款及格式</w:t>
      </w:r>
      <w:r>
        <w:rPr>
          <w:rFonts w:ascii="宋体" w:hAnsi="宋体" w:eastAsia="宋体"/>
        </w:rPr>
        <w:tab/>
      </w:r>
      <w:r>
        <w:rPr>
          <w:rFonts w:ascii="宋体" w:hAnsi="宋体" w:eastAsia="宋体"/>
        </w:rPr>
        <w:fldChar w:fldCharType="begin"/>
      </w:r>
      <w:r>
        <w:rPr>
          <w:rFonts w:ascii="宋体" w:hAnsi="宋体" w:eastAsia="宋体"/>
        </w:rPr>
        <w:instrText xml:space="preserve"> PAGEREF _Toc54249504 \h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ascii="宋体" w:hAnsi="宋体" w:eastAsia="宋体"/>
        </w:rPr>
        <w:fldChar w:fldCharType="end"/>
      </w:r>
    </w:p>
    <w:p>
      <w:pPr>
        <w:pStyle w:val="33"/>
        <w:tabs>
          <w:tab w:val="right" w:leader="dot" w:pos="9629"/>
        </w:tabs>
        <w:rPr>
          <w:rFonts w:ascii="宋体" w:hAnsi="宋体" w:eastAsia="宋体" w:cstheme="minorBidi"/>
          <w:b w:val="0"/>
          <w:bCs w:val="0"/>
          <w:caps w:val="0"/>
          <w:sz w:val="21"/>
          <w:szCs w:val="22"/>
        </w:rPr>
      </w:pPr>
      <w:r>
        <w:fldChar w:fldCharType="begin"/>
      </w:r>
      <w:r>
        <w:instrText xml:space="preserve"> HYPERLINK \l "_Toc54249512" </w:instrText>
      </w:r>
      <w:r>
        <w:fldChar w:fldCharType="separate"/>
      </w:r>
      <w:r>
        <w:rPr>
          <w:rStyle w:val="56"/>
          <w:rFonts w:hint="eastAsia" w:ascii="宋体" w:hAnsi="宋体" w:eastAsia="宋体"/>
          <w:color w:val="auto"/>
          <w:kern w:val="0"/>
        </w:rPr>
        <w:t>第五章</w:t>
      </w:r>
      <w:r>
        <w:rPr>
          <w:rStyle w:val="56"/>
          <w:rFonts w:ascii="宋体" w:hAnsi="宋体" w:eastAsia="宋体"/>
          <w:color w:val="auto"/>
          <w:kern w:val="0"/>
        </w:rPr>
        <w:t xml:space="preserve">  </w:t>
      </w:r>
      <w:r>
        <w:rPr>
          <w:rStyle w:val="56"/>
          <w:rFonts w:hint="eastAsia" w:ascii="宋体" w:hAnsi="宋体" w:eastAsia="宋体"/>
          <w:color w:val="auto"/>
          <w:kern w:val="0"/>
        </w:rPr>
        <w:t>工程量清单</w:t>
      </w:r>
      <w:r>
        <w:rPr>
          <w:rFonts w:ascii="宋体" w:hAnsi="宋体" w:eastAsia="宋体"/>
        </w:rPr>
        <w:tab/>
      </w:r>
      <w:r>
        <w:rPr>
          <w:rFonts w:ascii="宋体" w:hAnsi="宋体" w:eastAsia="宋体"/>
        </w:rPr>
        <w:fldChar w:fldCharType="begin"/>
      </w:r>
      <w:r>
        <w:rPr>
          <w:rFonts w:ascii="宋体" w:hAnsi="宋体" w:eastAsia="宋体"/>
        </w:rPr>
        <w:instrText xml:space="preserve"> PAGEREF _Toc54249512 \h </w:instrText>
      </w:r>
      <w:r>
        <w:rPr>
          <w:rFonts w:ascii="宋体" w:hAnsi="宋体" w:eastAsia="宋体"/>
        </w:rPr>
        <w:fldChar w:fldCharType="separate"/>
      </w:r>
      <w:r>
        <w:rPr>
          <w:rFonts w:ascii="宋体" w:hAnsi="宋体" w:eastAsia="宋体"/>
        </w:rPr>
        <w:t>46</w:t>
      </w:r>
      <w:r>
        <w:rPr>
          <w:rFonts w:ascii="宋体" w:hAnsi="宋体" w:eastAsia="宋体"/>
        </w:rPr>
        <w:fldChar w:fldCharType="end"/>
      </w:r>
      <w:r>
        <w:rPr>
          <w:rFonts w:ascii="宋体" w:hAnsi="宋体" w:eastAsia="宋体"/>
        </w:rPr>
        <w:fldChar w:fldCharType="end"/>
      </w:r>
    </w:p>
    <w:p>
      <w:pPr>
        <w:pStyle w:val="33"/>
        <w:tabs>
          <w:tab w:val="left" w:pos="1680"/>
          <w:tab w:val="right" w:leader="dot" w:pos="9629"/>
        </w:tabs>
        <w:rPr>
          <w:rFonts w:ascii="宋体" w:hAnsi="宋体" w:eastAsia="宋体" w:cstheme="minorBidi"/>
          <w:b w:val="0"/>
          <w:bCs w:val="0"/>
          <w:caps w:val="0"/>
          <w:sz w:val="21"/>
          <w:szCs w:val="22"/>
        </w:rPr>
      </w:pPr>
      <w:r>
        <w:fldChar w:fldCharType="begin"/>
      </w:r>
      <w:r>
        <w:instrText xml:space="preserve"> HYPERLINK \l "_Toc54249513" </w:instrText>
      </w:r>
      <w:r>
        <w:fldChar w:fldCharType="separate"/>
      </w:r>
      <w:r>
        <w:rPr>
          <w:rStyle w:val="56"/>
          <w:rFonts w:hint="eastAsia" w:ascii="宋体" w:hAnsi="宋体" w:eastAsia="宋体"/>
          <w:color w:val="auto"/>
          <w:kern w:val="0"/>
        </w:rPr>
        <w:t>第六章 图</w:t>
      </w:r>
      <w:r>
        <w:rPr>
          <w:rFonts w:ascii="宋体" w:hAnsi="宋体" w:eastAsia="宋体" w:cstheme="minorBidi"/>
          <w:b w:val="0"/>
          <w:bCs w:val="0"/>
          <w:caps w:val="0"/>
          <w:sz w:val="21"/>
          <w:szCs w:val="22"/>
        </w:rPr>
        <w:tab/>
      </w:r>
      <w:r>
        <w:rPr>
          <w:rStyle w:val="56"/>
          <w:rFonts w:hint="eastAsia" w:ascii="宋体" w:hAnsi="宋体" w:eastAsia="宋体"/>
          <w:color w:val="auto"/>
          <w:kern w:val="0"/>
        </w:rPr>
        <w:t>纸</w:t>
      </w:r>
      <w:r>
        <w:rPr>
          <w:rFonts w:ascii="宋体" w:hAnsi="宋体" w:eastAsia="宋体"/>
        </w:rPr>
        <w:tab/>
      </w:r>
      <w:r>
        <w:rPr>
          <w:rFonts w:ascii="宋体" w:hAnsi="宋体" w:eastAsia="宋体"/>
        </w:rPr>
        <w:fldChar w:fldCharType="begin"/>
      </w:r>
      <w:r>
        <w:rPr>
          <w:rFonts w:ascii="宋体" w:hAnsi="宋体" w:eastAsia="宋体"/>
        </w:rPr>
        <w:instrText xml:space="preserve"> PAGEREF _Toc54249513 \h </w:instrText>
      </w:r>
      <w:r>
        <w:rPr>
          <w:rFonts w:ascii="宋体" w:hAnsi="宋体" w:eastAsia="宋体"/>
        </w:rPr>
        <w:fldChar w:fldCharType="separate"/>
      </w:r>
      <w:r>
        <w:rPr>
          <w:rFonts w:ascii="宋体" w:hAnsi="宋体" w:eastAsia="宋体"/>
        </w:rPr>
        <w:t>95</w:t>
      </w:r>
      <w:r>
        <w:rPr>
          <w:rFonts w:ascii="宋体" w:hAnsi="宋体" w:eastAsia="宋体"/>
        </w:rPr>
        <w:fldChar w:fldCharType="end"/>
      </w:r>
      <w:r>
        <w:rPr>
          <w:rFonts w:ascii="宋体" w:hAnsi="宋体" w:eastAsia="宋体"/>
        </w:rPr>
        <w:fldChar w:fldCharType="end"/>
      </w:r>
    </w:p>
    <w:p>
      <w:pPr>
        <w:pStyle w:val="33"/>
        <w:tabs>
          <w:tab w:val="right" w:leader="dot" w:pos="9629"/>
        </w:tabs>
        <w:rPr>
          <w:rFonts w:ascii="宋体" w:hAnsi="宋体" w:eastAsia="宋体" w:cstheme="minorBidi"/>
          <w:b w:val="0"/>
          <w:bCs w:val="0"/>
          <w:caps w:val="0"/>
          <w:sz w:val="21"/>
          <w:szCs w:val="22"/>
        </w:rPr>
      </w:pPr>
      <w:r>
        <w:fldChar w:fldCharType="begin"/>
      </w:r>
      <w:r>
        <w:instrText xml:space="preserve"> HYPERLINK \l "_Toc54249514" </w:instrText>
      </w:r>
      <w:r>
        <w:fldChar w:fldCharType="separate"/>
      </w:r>
      <w:r>
        <w:rPr>
          <w:rStyle w:val="56"/>
          <w:rFonts w:hint="eastAsia" w:ascii="宋体" w:hAnsi="宋体" w:eastAsia="宋体"/>
          <w:color w:val="auto"/>
          <w:kern w:val="0"/>
        </w:rPr>
        <w:t>第七章</w:t>
      </w:r>
      <w:r>
        <w:rPr>
          <w:rStyle w:val="56"/>
          <w:rFonts w:ascii="宋体" w:hAnsi="宋体" w:eastAsia="宋体"/>
          <w:color w:val="auto"/>
          <w:kern w:val="0"/>
        </w:rPr>
        <w:t xml:space="preserve"> </w:t>
      </w:r>
      <w:r>
        <w:rPr>
          <w:rStyle w:val="56"/>
          <w:rFonts w:hint="eastAsia" w:ascii="宋体" w:hAnsi="宋体" w:eastAsia="宋体"/>
          <w:color w:val="auto"/>
          <w:kern w:val="0"/>
        </w:rPr>
        <w:t>技术标准和要求</w:t>
      </w:r>
      <w:r>
        <w:rPr>
          <w:rFonts w:ascii="宋体" w:hAnsi="宋体" w:eastAsia="宋体"/>
        </w:rPr>
        <w:tab/>
      </w:r>
      <w:r>
        <w:rPr>
          <w:rFonts w:ascii="宋体" w:hAnsi="宋体" w:eastAsia="宋体"/>
        </w:rPr>
        <w:fldChar w:fldCharType="begin"/>
      </w:r>
      <w:r>
        <w:rPr>
          <w:rFonts w:ascii="宋体" w:hAnsi="宋体" w:eastAsia="宋体"/>
        </w:rPr>
        <w:instrText xml:space="preserve"> PAGEREF _Toc54249514 \h </w:instrText>
      </w:r>
      <w:r>
        <w:rPr>
          <w:rFonts w:ascii="宋体" w:hAnsi="宋体" w:eastAsia="宋体"/>
        </w:rPr>
        <w:fldChar w:fldCharType="separate"/>
      </w:r>
      <w:r>
        <w:rPr>
          <w:rFonts w:ascii="宋体" w:hAnsi="宋体" w:eastAsia="宋体"/>
        </w:rPr>
        <w:t>96</w:t>
      </w:r>
      <w:r>
        <w:rPr>
          <w:rFonts w:ascii="宋体" w:hAnsi="宋体" w:eastAsia="宋体"/>
        </w:rPr>
        <w:fldChar w:fldCharType="end"/>
      </w:r>
      <w:r>
        <w:rPr>
          <w:rFonts w:ascii="宋体" w:hAnsi="宋体" w:eastAsia="宋体"/>
        </w:rPr>
        <w:fldChar w:fldCharType="end"/>
      </w:r>
    </w:p>
    <w:p>
      <w:pPr>
        <w:pStyle w:val="33"/>
        <w:tabs>
          <w:tab w:val="right" w:leader="dot" w:pos="9629"/>
        </w:tabs>
        <w:rPr>
          <w:rFonts w:ascii="宋体" w:hAnsi="宋体" w:eastAsia="宋体" w:cstheme="minorBidi"/>
          <w:b w:val="0"/>
          <w:bCs w:val="0"/>
          <w:caps w:val="0"/>
          <w:sz w:val="21"/>
          <w:szCs w:val="22"/>
        </w:rPr>
      </w:pPr>
      <w:r>
        <w:fldChar w:fldCharType="begin"/>
      </w:r>
      <w:r>
        <w:instrText xml:space="preserve"> HYPERLINK \l "_Toc54249515" </w:instrText>
      </w:r>
      <w:r>
        <w:fldChar w:fldCharType="separate"/>
      </w:r>
      <w:r>
        <w:rPr>
          <w:rStyle w:val="56"/>
          <w:rFonts w:hint="eastAsia" w:ascii="宋体" w:hAnsi="宋体" w:eastAsia="宋体"/>
          <w:color w:val="auto"/>
          <w:kern w:val="0"/>
        </w:rPr>
        <w:t>第八章</w:t>
      </w:r>
      <w:r>
        <w:rPr>
          <w:rStyle w:val="56"/>
          <w:rFonts w:ascii="宋体" w:hAnsi="宋体" w:eastAsia="宋体"/>
          <w:color w:val="auto"/>
          <w:kern w:val="0"/>
        </w:rPr>
        <w:t xml:space="preserve"> </w:t>
      </w:r>
      <w:r>
        <w:rPr>
          <w:rStyle w:val="56"/>
          <w:rFonts w:hint="eastAsia" w:ascii="宋体" w:hAnsi="宋体" w:eastAsia="宋体"/>
          <w:color w:val="auto"/>
          <w:kern w:val="0"/>
        </w:rPr>
        <w:t>竞标文件格式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_Toc54249515 \h </w:instrText>
      </w:r>
      <w:r>
        <w:rPr>
          <w:rFonts w:ascii="宋体" w:hAnsi="宋体" w:eastAsia="宋体"/>
        </w:rPr>
        <w:fldChar w:fldCharType="separate"/>
      </w:r>
      <w:r>
        <w:rPr>
          <w:rFonts w:ascii="宋体" w:hAnsi="宋体" w:eastAsia="宋体"/>
        </w:rPr>
        <w:t>97</w:t>
      </w:r>
      <w:r>
        <w:rPr>
          <w:rFonts w:ascii="宋体" w:hAnsi="宋体" w:eastAsia="宋体"/>
        </w:rPr>
        <w:fldChar w:fldCharType="end"/>
      </w:r>
      <w:r>
        <w:rPr>
          <w:rFonts w:ascii="宋体" w:hAnsi="宋体" w:eastAsia="宋体"/>
        </w:rPr>
        <w:fldChar w:fldCharType="end"/>
      </w:r>
    </w:p>
    <w:p>
      <w:pPr>
        <w:pStyle w:val="33"/>
        <w:rPr>
          <w:rFonts w:ascii="宋体" w:hAnsi="宋体" w:eastAsia="宋体" w:cs="宋体"/>
          <w:kern w:val="0"/>
          <w:sz w:val="24"/>
        </w:rPr>
        <w:sectPr>
          <w:footerReference r:id="rId4" w:type="default"/>
          <w:pgSz w:w="11907" w:h="16839"/>
          <w:pgMar w:top="1134" w:right="1134" w:bottom="1134" w:left="1134" w:header="720" w:footer="720" w:gutter="0"/>
          <w:pgNumType w:start="1"/>
          <w:cols w:space="720" w:num="1"/>
        </w:sectPr>
      </w:pPr>
      <w:r>
        <w:rPr>
          <w:rFonts w:hint="eastAsia" w:ascii="宋体" w:hAnsi="宋体" w:eastAsia="宋体" w:cs="宋体"/>
          <w:bCs w:val="0"/>
          <w:caps w:val="0"/>
          <w:kern w:val="0"/>
          <w:sz w:val="30"/>
          <w:szCs w:val="30"/>
        </w:rPr>
        <w:fldChar w:fldCharType="end"/>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TOC \o "1-3" \h \z \u </w:instrText>
      </w:r>
      <w:r>
        <w:rPr>
          <w:rFonts w:hint="eastAsia" w:ascii="宋体" w:hAnsi="宋体" w:eastAsia="宋体" w:cs="宋体"/>
          <w:sz w:val="30"/>
          <w:szCs w:val="30"/>
        </w:rPr>
        <w:fldChar w:fldCharType="end"/>
      </w:r>
    </w:p>
    <w:p>
      <w:pPr>
        <w:pStyle w:val="4"/>
        <w:jc w:val="center"/>
        <w:rPr>
          <w:rFonts w:ascii="宋体" w:hAnsi="宋体" w:cs="宋体"/>
          <w:snapToGrid w:val="0"/>
          <w:kern w:val="0"/>
          <w:sz w:val="36"/>
          <w:szCs w:val="36"/>
        </w:rPr>
      </w:pPr>
      <w:bookmarkStart w:id="1" w:name="_Toc294083455"/>
      <w:bookmarkStart w:id="2" w:name="_Toc200359237"/>
      <w:bookmarkStart w:id="3" w:name="_Toc200359426"/>
      <w:bookmarkStart w:id="4" w:name="_Toc278354376"/>
      <w:bookmarkStart w:id="5" w:name="_Toc54249431"/>
      <w:r>
        <w:rPr>
          <w:rFonts w:hint="eastAsia" w:ascii="宋体" w:hAnsi="宋体" w:cs="宋体"/>
          <w:snapToGrid w:val="0"/>
          <w:kern w:val="0"/>
          <w:sz w:val="36"/>
          <w:szCs w:val="36"/>
        </w:rPr>
        <w:t xml:space="preserve">第一章  </w:t>
      </w:r>
      <w:bookmarkEnd w:id="1"/>
      <w:bookmarkEnd w:id="2"/>
      <w:bookmarkEnd w:id="3"/>
      <w:bookmarkEnd w:id="4"/>
      <w:bookmarkStart w:id="6" w:name="OLE_LINK2"/>
      <w:r>
        <w:rPr>
          <w:rFonts w:hint="eastAsia" w:ascii="宋体" w:hAnsi="宋体" w:cs="宋体"/>
          <w:snapToGrid w:val="0"/>
          <w:kern w:val="0"/>
          <w:sz w:val="36"/>
          <w:szCs w:val="36"/>
        </w:rPr>
        <w:t>比选</w:t>
      </w:r>
      <w:bookmarkEnd w:id="5"/>
      <w:r>
        <w:rPr>
          <w:rFonts w:hint="eastAsia" w:ascii="宋体" w:hAnsi="宋体" w:cs="宋体"/>
          <w:snapToGrid w:val="0"/>
          <w:kern w:val="0"/>
          <w:sz w:val="36"/>
          <w:szCs w:val="36"/>
        </w:rPr>
        <w:t>公告</w:t>
      </w:r>
    </w:p>
    <w:bookmarkEnd w:id="6"/>
    <w:p>
      <w:pPr>
        <w:spacing w:line="440" w:lineRule="exact"/>
        <w:jc w:val="center"/>
        <w:rPr>
          <w:rFonts w:ascii="宋体" w:hAnsi="宋体" w:cs="宋体"/>
          <w:b/>
          <w:sz w:val="24"/>
        </w:rPr>
      </w:pPr>
      <w:bookmarkStart w:id="7" w:name="_Toc463772157"/>
      <w:bookmarkStart w:id="8" w:name="_Toc488005243"/>
      <w:bookmarkStart w:id="9" w:name="_Toc437009331"/>
      <w:r>
        <w:rPr>
          <w:rFonts w:hint="eastAsia" w:ascii="宋体" w:hAnsi="宋体" w:cs="宋体"/>
          <w:b/>
          <w:sz w:val="24"/>
        </w:rPr>
        <w:t>水土园区城市品质提升（云汉大道、方正大道、悦复大道三线品质提升）-云汉大道110千伏电力通道工程比选公告</w:t>
      </w:r>
    </w:p>
    <w:p>
      <w:pPr>
        <w:pStyle w:val="5"/>
        <w:spacing w:line="520" w:lineRule="exact"/>
        <w:rPr>
          <w:rFonts w:ascii="宋体" w:eastAsia="宋体" w:cs="Times New Roman"/>
          <w:snapToGrid w:val="0"/>
          <w:sz w:val="21"/>
          <w:szCs w:val="21"/>
        </w:rPr>
      </w:pPr>
      <w:bookmarkStart w:id="10" w:name="_Toc54249432"/>
      <w:r>
        <w:rPr>
          <w:rFonts w:ascii="宋体" w:eastAsia="宋体"/>
          <w:snapToGrid w:val="0"/>
          <w:sz w:val="21"/>
          <w:szCs w:val="21"/>
        </w:rPr>
        <w:t>1</w:t>
      </w:r>
      <w:r>
        <w:rPr>
          <w:rFonts w:hint="eastAsia" w:ascii="宋体" w:eastAsia="宋体"/>
          <w:snapToGrid w:val="0"/>
          <w:sz w:val="21"/>
          <w:szCs w:val="21"/>
        </w:rPr>
        <w:t>．比选条件</w:t>
      </w:r>
      <w:bookmarkEnd w:id="7"/>
      <w:bookmarkEnd w:id="8"/>
      <w:bookmarkEnd w:id="9"/>
      <w:bookmarkEnd w:id="10"/>
    </w:p>
    <w:p>
      <w:pPr>
        <w:spacing w:line="360" w:lineRule="auto"/>
        <w:ind w:firstLine="411" w:firstLineChars="196"/>
        <w:rPr>
          <w:rFonts w:ascii="宋体" w:hAnsi="宋体" w:cs="宋体"/>
          <w:szCs w:val="21"/>
        </w:rPr>
      </w:pPr>
      <w:r>
        <w:rPr>
          <w:rFonts w:hint="eastAsia" w:ascii="宋体" w:hAnsi="宋体" w:cs="宋体"/>
          <w:snapToGrid w:val="0"/>
          <w:kern w:val="0"/>
          <w:szCs w:val="21"/>
        </w:rPr>
        <w:t>本比选项目</w:t>
      </w:r>
      <w:bookmarkStart w:id="11" w:name="_Toc437009332"/>
      <w:bookmarkStart w:id="12" w:name="_Toc488005244"/>
      <w:bookmarkStart w:id="13" w:name="_Toc463772158"/>
      <w:r>
        <w:rPr>
          <w:rFonts w:hint="eastAsia" w:ascii="宋体" w:hAnsi="宋体" w:cs="宋体"/>
          <w:szCs w:val="21"/>
          <w:u w:val="single"/>
        </w:rPr>
        <w:t>水土园区城市品质提升（云汉大道、方正大道、悦复大道三线品质提升）-云汉大道110千伏电力通道工程</w:t>
      </w:r>
      <w:r>
        <w:rPr>
          <w:rFonts w:hint="eastAsia" w:ascii="宋体" w:hAnsi="宋体" w:cs="宋体"/>
          <w:snapToGrid w:val="0"/>
          <w:szCs w:val="21"/>
        </w:rPr>
        <w:t>，</w:t>
      </w:r>
      <w:r>
        <w:rPr>
          <w:rFonts w:hint="eastAsia" w:ascii="宋体" w:hAnsi="宋体" w:cs="宋体"/>
          <w:szCs w:val="21"/>
        </w:rPr>
        <w:t>比选人为</w:t>
      </w:r>
      <w:r>
        <w:rPr>
          <w:rFonts w:hint="eastAsia" w:ascii="宋体" w:hAnsi="宋体" w:cs="宋体"/>
          <w:szCs w:val="21"/>
          <w:u w:val="single"/>
        </w:rPr>
        <w:t>重庆两江新区水土高新技术产业园建设投资有限公司</w:t>
      </w:r>
      <w:r>
        <w:rPr>
          <w:rFonts w:hint="eastAsia" w:ascii="宋体" w:hAnsi="宋体" w:cs="宋体"/>
          <w:szCs w:val="21"/>
        </w:rPr>
        <w:t>，建设资金来源：</w:t>
      </w:r>
      <w:r>
        <w:rPr>
          <w:rFonts w:hint="eastAsia" w:ascii="宋体" w:hAnsi="宋体" w:cs="宋体"/>
          <w:szCs w:val="21"/>
          <w:u w:val="single"/>
        </w:rPr>
        <w:t>财政资金</w:t>
      </w:r>
      <w:r>
        <w:rPr>
          <w:rFonts w:hint="eastAsia" w:ascii="宋体" w:hAnsi="宋体" w:cs="宋体"/>
          <w:szCs w:val="21"/>
        </w:rPr>
        <w:t>。现对该项目进行竞争性公开比选，</w:t>
      </w:r>
      <w:bookmarkStart w:id="14" w:name="_Toc54249433"/>
      <w:r>
        <w:rPr>
          <w:rFonts w:hint="eastAsia" w:ascii="宋体" w:hAnsi="宋体" w:cs="宋体"/>
          <w:szCs w:val="21"/>
        </w:rPr>
        <w:t>欢迎符合资格的竞标单位前来参加竞选。</w:t>
      </w:r>
    </w:p>
    <w:p>
      <w:pPr>
        <w:pStyle w:val="5"/>
        <w:spacing w:line="520" w:lineRule="exact"/>
        <w:rPr>
          <w:rFonts w:ascii="宋体" w:eastAsia="宋体"/>
          <w:snapToGrid w:val="0"/>
          <w:sz w:val="21"/>
          <w:szCs w:val="21"/>
        </w:rPr>
      </w:pPr>
      <w:r>
        <w:rPr>
          <w:rFonts w:ascii="宋体" w:eastAsia="宋体"/>
          <w:snapToGrid w:val="0"/>
          <w:sz w:val="21"/>
          <w:szCs w:val="21"/>
        </w:rPr>
        <w:t>2</w:t>
      </w:r>
      <w:r>
        <w:rPr>
          <w:rFonts w:hint="eastAsia" w:ascii="宋体" w:eastAsia="宋体"/>
          <w:snapToGrid w:val="0"/>
          <w:sz w:val="21"/>
          <w:szCs w:val="21"/>
        </w:rPr>
        <w:t>．项目概况与比选范围</w:t>
      </w:r>
      <w:bookmarkEnd w:id="11"/>
      <w:bookmarkEnd w:id="12"/>
      <w:bookmarkEnd w:id="13"/>
      <w:bookmarkEnd w:id="14"/>
    </w:p>
    <w:p>
      <w:pPr>
        <w:adjustRightInd w:val="0"/>
        <w:snapToGrid w:val="0"/>
        <w:spacing w:line="520" w:lineRule="exact"/>
        <w:ind w:firstLine="420" w:firstLineChars="200"/>
        <w:rPr>
          <w:rFonts w:ascii="宋体" w:hAnsi="宋体" w:cs="宋体"/>
          <w:snapToGrid w:val="0"/>
          <w:kern w:val="0"/>
          <w:szCs w:val="21"/>
        </w:rPr>
      </w:pPr>
      <w:r>
        <w:rPr>
          <w:rFonts w:ascii="宋体" w:hAnsi="宋体" w:cs="宋体"/>
          <w:snapToGrid w:val="0"/>
          <w:kern w:val="0"/>
          <w:szCs w:val="21"/>
        </w:rPr>
        <w:t>2.1</w:t>
      </w:r>
      <w:r>
        <w:rPr>
          <w:rFonts w:hint="eastAsia" w:ascii="宋体" w:hAnsi="宋体" w:cs="宋体"/>
          <w:snapToGrid w:val="0"/>
          <w:kern w:val="0"/>
          <w:szCs w:val="21"/>
        </w:rPr>
        <w:t>建设地址：</w:t>
      </w:r>
      <w:r>
        <w:rPr>
          <w:rFonts w:hint="eastAsia" w:ascii="宋体" w:hAnsi="宋体" w:cs="宋体"/>
          <w:szCs w:val="21"/>
        </w:rPr>
        <w:t xml:space="preserve">重庆两江新区水土高新技术产业园 </w:t>
      </w:r>
    </w:p>
    <w:p>
      <w:pPr>
        <w:adjustRightInd w:val="0"/>
        <w:snapToGrid w:val="0"/>
        <w:spacing w:line="520" w:lineRule="exact"/>
        <w:ind w:firstLine="315" w:firstLineChars="150"/>
        <w:rPr>
          <w:rFonts w:ascii="宋体" w:hAnsi="宋体" w:cs="宋体"/>
          <w:snapToGrid w:val="0"/>
          <w:kern w:val="0"/>
          <w:szCs w:val="21"/>
        </w:rPr>
      </w:pPr>
      <w:r>
        <w:rPr>
          <w:rFonts w:ascii="宋体" w:hAnsi="宋体" w:cs="宋体"/>
          <w:snapToGrid w:val="0"/>
          <w:kern w:val="0"/>
          <w:szCs w:val="21"/>
        </w:rPr>
        <w:t xml:space="preserve"> 2.2</w:t>
      </w:r>
      <w:r>
        <w:rPr>
          <w:rFonts w:hint="eastAsia" w:ascii="宋体" w:hAnsi="宋体" w:cs="宋体"/>
          <w:snapToGrid w:val="0"/>
          <w:kern w:val="0"/>
          <w:szCs w:val="21"/>
        </w:rPr>
        <w:t>工程概况：</w:t>
      </w:r>
      <w:r>
        <w:t>新建一段110kv电力电缆通道，起点从云汉大道与云端路交叉口北侧现状BxH=2.5*2.2电力隧道引出，终点接入云汉大道与云计算1#路交叉口南侧万国地块红线边缘。电力通道全长约530米，规模为16+2孔，沿云汉大道东侧人行道外敷设。建设内容包括电力工程、路面恢复等工程</w:t>
      </w:r>
      <w:r>
        <w:rPr>
          <w:rFonts w:hint="eastAsia" w:ascii="宋体" w:hAnsi="宋体" w:cs="宋体"/>
          <w:snapToGrid w:val="0"/>
          <w:kern w:val="0"/>
          <w:szCs w:val="21"/>
        </w:rPr>
        <w:t>。</w:t>
      </w:r>
      <w:r>
        <w:rPr>
          <w:rFonts w:hint="eastAsia" w:ascii="宋体" w:hAnsi="宋体" w:cs="宋体"/>
          <w:szCs w:val="21"/>
        </w:rPr>
        <w:t xml:space="preserve"> 招标金额约</w:t>
      </w:r>
      <w:r>
        <w:rPr>
          <w:rFonts w:hint="eastAsia" w:ascii="宋体" w:hAnsi="宋体" w:cs="宋体"/>
          <w:szCs w:val="21"/>
          <w:u w:val="single"/>
        </w:rPr>
        <w:t>247</w:t>
      </w:r>
      <w:r>
        <w:rPr>
          <w:rFonts w:hint="eastAsia" w:ascii="宋体" w:hAnsi="宋体" w:cs="宋体"/>
          <w:szCs w:val="21"/>
        </w:rPr>
        <w:t>万元。</w:t>
      </w:r>
    </w:p>
    <w:p>
      <w:pPr>
        <w:adjustRightInd w:val="0"/>
        <w:snapToGrid w:val="0"/>
        <w:spacing w:line="520" w:lineRule="exact"/>
        <w:ind w:firstLine="420" w:firstLineChars="200"/>
        <w:rPr>
          <w:rFonts w:ascii="宋体" w:hAnsi="宋体" w:cs="宋体"/>
          <w:snapToGrid w:val="0"/>
          <w:kern w:val="0"/>
          <w:szCs w:val="21"/>
        </w:rPr>
      </w:pPr>
      <w:r>
        <w:rPr>
          <w:rFonts w:ascii="宋体" w:hAnsi="宋体" w:cs="宋体"/>
          <w:snapToGrid w:val="0"/>
          <w:kern w:val="0"/>
          <w:szCs w:val="21"/>
        </w:rPr>
        <w:t>2.</w:t>
      </w:r>
      <w:r>
        <w:rPr>
          <w:rFonts w:hint="eastAsia" w:ascii="宋体" w:hAnsi="宋体" w:cs="宋体"/>
          <w:snapToGrid w:val="0"/>
          <w:kern w:val="0"/>
          <w:szCs w:val="21"/>
        </w:rPr>
        <w:t>3计划工期：</w:t>
      </w:r>
      <w:r>
        <w:rPr>
          <w:rFonts w:hint="eastAsia" w:ascii="宋体" w:hAnsi="宋体" w:cs="宋体"/>
          <w:snapToGrid w:val="0"/>
          <w:kern w:val="0"/>
          <w:szCs w:val="21"/>
          <w:u w:val="single"/>
        </w:rPr>
        <w:t xml:space="preserve"> 120 </w:t>
      </w:r>
      <w:r>
        <w:rPr>
          <w:rFonts w:hint="eastAsia" w:ascii="宋体" w:hAnsi="宋体" w:cs="宋体"/>
          <w:snapToGrid w:val="0"/>
          <w:kern w:val="0"/>
          <w:szCs w:val="21"/>
        </w:rPr>
        <w:t>日历天。</w:t>
      </w:r>
    </w:p>
    <w:p>
      <w:pPr>
        <w:adjustRightInd w:val="0"/>
        <w:snapToGrid w:val="0"/>
        <w:spacing w:line="520" w:lineRule="exact"/>
        <w:ind w:firstLine="420" w:firstLineChars="200"/>
        <w:rPr>
          <w:rFonts w:ascii="宋体" w:hAnsi="宋体"/>
          <w:snapToGrid w:val="0"/>
          <w:kern w:val="0"/>
          <w:szCs w:val="21"/>
          <w:u w:val="single"/>
        </w:rPr>
      </w:pPr>
      <w:r>
        <w:rPr>
          <w:rFonts w:ascii="宋体" w:hAnsi="宋体"/>
          <w:snapToGrid w:val="0"/>
          <w:kern w:val="0"/>
          <w:szCs w:val="21"/>
        </w:rPr>
        <w:t>2.</w:t>
      </w:r>
      <w:r>
        <w:rPr>
          <w:rFonts w:hint="eastAsia" w:ascii="宋体" w:hAnsi="宋体"/>
          <w:snapToGrid w:val="0"/>
          <w:kern w:val="0"/>
          <w:szCs w:val="21"/>
        </w:rPr>
        <w:t>4</w:t>
      </w:r>
      <w:r>
        <w:rPr>
          <w:rFonts w:ascii="宋体" w:hAnsi="宋体"/>
          <w:snapToGrid w:val="0"/>
          <w:kern w:val="0"/>
          <w:szCs w:val="21"/>
        </w:rPr>
        <w:t xml:space="preserve"> </w:t>
      </w:r>
      <w:r>
        <w:rPr>
          <w:rFonts w:hint="eastAsia" w:ascii="宋体" w:hAnsi="宋体" w:cs="宋体"/>
          <w:snapToGrid w:val="0"/>
          <w:kern w:val="0"/>
          <w:szCs w:val="21"/>
        </w:rPr>
        <w:t>比选范围：</w:t>
      </w:r>
      <w:bookmarkStart w:id="15" w:name="_Toc437009333"/>
      <w:r>
        <w:rPr>
          <w:rFonts w:hint="eastAsia" w:ascii="宋体" w:hAnsi="宋体" w:cs="宋体"/>
          <w:snapToGrid w:val="0"/>
          <w:szCs w:val="21"/>
        </w:rPr>
        <w:t>施工图范围内的</w:t>
      </w:r>
      <w:r>
        <w:t>电力工程、道路拆除、恢复道路工程及人行道树移栽工程</w:t>
      </w:r>
      <w:r>
        <w:rPr>
          <w:rFonts w:hint="eastAsia" w:ascii="宋体" w:hAnsi="宋体" w:cs="宋体"/>
          <w:snapToGrid w:val="0"/>
          <w:szCs w:val="21"/>
        </w:rPr>
        <w:t>。</w:t>
      </w:r>
    </w:p>
    <w:p>
      <w:pPr>
        <w:pStyle w:val="5"/>
        <w:spacing w:line="520" w:lineRule="exact"/>
        <w:rPr>
          <w:rFonts w:ascii="宋体" w:eastAsia="宋体"/>
          <w:snapToGrid w:val="0"/>
          <w:sz w:val="21"/>
          <w:szCs w:val="21"/>
        </w:rPr>
      </w:pPr>
      <w:bookmarkStart w:id="16" w:name="_Toc488005245"/>
      <w:bookmarkStart w:id="17" w:name="_Toc54249434"/>
      <w:bookmarkStart w:id="18" w:name="_Toc463772159"/>
      <w:r>
        <w:rPr>
          <w:rFonts w:ascii="宋体" w:eastAsia="宋体"/>
          <w:snapToGrid w:val="0"/>
          <w:sz w:val="21"/>
          <w:szCs w:val="21"/>
        </w:rPr>
        <w:t>3</w:t>
      </w:r>
      <w:r>
        <w:rPr>
          <w:rFonts w:hint="eastAsia" w:ascii="宋体" w:eastAsia="宋体"/>
          <w:snapToGrid w:val="0"/>
          <w:sz w:val="21"/>
          <w:szCs w:val="21"/>
        </w:rPr>
        <w:t>．竞标人资格要求</w:t>
      </w:r>
      <w:bookmarkEnd w:id="15"/>
      <w:bookmarkEnd w:id="16"/>
      <w:bookmarkEnd w:id="17"/>
      <w:bookmarkEnd w:id="18"/>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kern w:val="0"/>
          <w:szCs w:val="21"/>
        </w:rPr>
      </w:pPr>
      <w:r>
        <w:rPr>
          <w:rFonts w:ascii="宋体" w:hAnsi="宋体" w:cs="宋体"/>
          <w:snapToGrid w:val="0"/>
          <w:kern w:val="0"/>
          <w:szCs w:val="21"/>
        </w:rPr>
        <w:t xml:space="preserve">3.1 </w:t>
      </w:r>
      <w:r>
        <w:rPr>
          <w:rFonts w:hint="eastAsia" w:ascii="宋体" w:hAnsi="宋体" w:cs="宋体"/>
          <w:snapToGrid w:val="0"/>
          <w:kern w:val="0"/>
          <w:szCs w:val="21"/>
        </w:rPr>
        <w:t>本次比选要求竞标人须具备建设行政主管部门颁发的</w:t>
      </w:r>
      <w:r>
        <w:rPr>
          <w:rFonts w:hint="eastAsia" w:ascii="宋体" w:hAnsi="宋体" w:cs="宋体"/>
          <w:snapToGrid w:val="0"/>
          <w:kern w:val="0"/>
          <w:szCs w:val="21"/>
          <w:u w:val="single"/>
        </w:rPr>
        <w:t>市政公用工程施工总承包三级及以上资质</w:t>
      </w:r>
      <w:r>
        <w:rPr>
          <w:rFonts w:hint="eastAsia" w:ascii="宋体" w:hAnsi="宋体" w:cs="宋体"/>
          <w:snapToGrid w:val="0"/>
          <w:kern w:val="0"/>
          <w:szCs w:val="21"/>
        </w:rPr>
        <w:t>；并在人员、设备、资金等方面具有承担本工程施工的能力。</w:t>
      </w:r>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kern w:val="0"/>
          <w:szCs w:val="21"/>
        </w:rPr>
      </w:pPr>
      <w:bookmarkStart w:id="19" w:name="_Toc457348311"/>
      <w:bookmarkStart w:id="20" w:name="_Toc437009334"/>
      <w:r>
        <w:rPr>
          <w:rFonts w:hint="eastAsia" w:ascii="宋体" w:hAnsi="宋体" w:cs="宋体"/>
          <w:snapToGrid w:val="0"/>
          <w:kern w:val="0"/>
          <w:szCs w:val="21"/>
        </w:rPr>
        <w:t>3.2  本次比选不接受联合体竞标。</w:t>
      </w:r>
      <w:bookmarkEnd w:id="19"/>
    </w:p>
    <w:p>
      <w:pPr>
        <w:pStyle w:val="5"/>
        <w:spacing w:line="520" w:lineRule="exact"/>
        <w:rPr>
          <w:rFonts w:ascii="宋体" w:eastAsia="宋体"/>
          <w:snapToGrid w:val="0"/>
          <w:sz w:val="21"/>
          <w:szCs w:val="21"/>
        </w:rPr>
      </w:pPr>
      <w:bookmarkStart w:id="21" w:name="_Toc54249435"/>
      <w:bookmarkStart w:id="22" w:name="_Toc463772160"/>
      <w:bookmarkStart w:id="23" w:name="_Toc488005246"/>
      <w:r>
        <w:rPr>
          <w:rFonts w:ascii="宋体" w:eastAsia="宋体"/>
          <w:snapToGrid w:val="0"/>
          <w:sz w:val="21"/>
          <w:szCs w:val="21"/>
        </w:rPr>
        <w:t>4</w:t>
      </w:r>
      <w:r>
        <w:rPr>
          <w:rFonts w:hint="eastAsia" w:ascii="宋体" w:eastAsia="宋体"/>
          <w:snapToGrid w:val="0"/>
          <w:sz w:val="21"/>
          <w:szCs w:val="21"/>
        </w:rPr>
        <w:t>．比选文件的获取</w:t>
      </w:r>
      <w:bookmarkEnd w:id="20"/>
      <w:bookmarkEnd w:id="21"/>
      <w:bookmarkEnd w:id="22"/>
      <w:bookmarkEnd w:id="23"/>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kern w:val="0"/>
          <w:szCs w:val="21"/>
        </w:rPr>
      </w:pPr>
      <w:r>
        <w:rPr>
          <w:rFonts w:ascii="宋体" w:hAnsi="宋体" w:cs="宋体"/>
          <w:snapToGrid w:val="0"/>
          <w:kern w:val="0"/>
          <w:szCs w:val="21"/>
        </w:rPr>
        <w:t>4.1</w:t>
      </w:r>
      <w:r>
        <w:rPr>
          <w:rFonts w:hint="eastAsia" w:ascii="宋体" w:hAnsi="宋体" w:cs="宋体"/>
          <w:snapToGrid w:val="0"/>
          <w:kern w:val="0"/>
          <w:szCs w:val="21"/>
        </w:rPr>
        <w:t xml:space="preserve"> </w:t>
      </w:r>
      <w:r>
        <w:t>凡有意参加竞选者，</w:t>
      </w:r>
      <w:r>
        <w:rPr>
          <w:rFonts w:ascii="宋体" w:hAnsi="宋体" w:cs="宋体"/>
          <w:snapToGrid w:val="0"/>
          <w:kern w:val="0"/>
          <w:szCs w:val="21"/>
        </w:rPr>
        <w:t>请于</w:t>
      </w:r>
      <w:r>
        <w:rPr>
          <w:rFonts w:ascii="宋体" w:hAnsi="宋体" w:cs="宋体"/>
          <w:b/>
          <w:snapToGrid w:val="0"/>
          <w:kern w:val="0"/>
          <w:szCs w:val="21"/>
          <w:u w:val="single"/>
        </w:rPr>
        <w:t>2021</w:t>
      </w:r>
      <w:r>
        <w:rPr>
          <w:rFonts w:ascii="宋体" w:hAnsi="宋体" w:cs="宋体"/>
          <w:b/>
          <w:snapToGrid w:val="0"/>
          <w:kern w:val="0"/>
          <w:szCs w:val="21"/>
        </w:rPr>
        <w:t>年</w:t>
      </w:r>
      <w:r>
        <w:rPr>
          <w:rFonts w:hint="eastAsia" w:ascii="宋体" w:hAnsi="宋体" w:cs="宋体"/>
          <w:b/>
          <w:snapToGrid w:val="0"/>
          <w:kern w:val="0"/>
          <w:szCs w:val="21"/>
          <w:u w:val="single"/>
        </w:rPr>
        <w:t xml:space="preserve"> 2 </w:t>
      </w:r>
      <w:r>
        <w:rPr>
          <w:rFonts w:ascii="宋体" w:hAnsi="宋体" w:cs="宋体"/>
          <w:b/>
          <w:snapToGrid w:val="0"/>
          <w:kern w:val="0"/>
          <w:szCs w:val="21"/>
        </w:rPr>
        <w:t>月</w:t>
      </w:r>
      <w:r>
        <w:rPr>
          <w:rFonts w:hint="eastAsia" w:ascii="宋体" w:hAnsi="宋体" w:cs="宋体"/>
          <w:b/>
          <w:snapToGrid w:val="0"/>
          <w:kern w:val="0"/>
          <w:szCs w:val="21"/>
          <w:u w:val="single"/>
        </w:rPr>
        <w:t xml:space="preserve"> 2 </w:t>
      </w:r>
      <w:r>
        <w:rPr>
          <w:rFonts w:ascii="宋体" w:hAnsi="宋体" w:cs="宋体"/>
          <w:b/>
          <w:snapToGrid w:val="0"/>
          <w:kern w:val="0"/>
          <w:szCs w:val="21"/>
        </w:rPr>
        <w:t>日</w:t>
      </w:r>
      <w:r>
        <w:rPr>
          <w:rFonts w:ascii="宋体" w:hAnsi="宋体" w:cs="宋体"/>
          <w:snapToGrid w:val="0"/>
          <w:kern w:val="0"/>
          <w:szCs w:val="21"/>
        </w:rPr>
        <w:t>起，（北京时间，下同），在</w:t>
      </w:r>
      <w:r>
        <w:rPr>
          <w:rFonts w:ascii="宋体" w:hAnsi="宋体" w:cs="宋体"/>
          <w:snapToGrid w:val="0"/>
          <w:kern w:val="0"/>
          <w:szCs w:val="21"/>
          <w:u w:val="single"/>
        </w:rPr>
        <w:t>重庆两江新区水土高新技术产业（</w:t>
      </w:r>
      <w:r>
        <w:rPr>
          <w:rFonts w:ascii="宋体" w:hAnsi="宋体" w:cs="宋体"/>
          <w:snapToGrid w:val="0"/>
          <w:kern w:val="0"/>
          <w:szCs w:val="21"/>
          <w:u w:val="single"/>
        </w:rPr>
        <w:drawing>
          <wp:inline distT="0" distB="0" distL="0" distR="0">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10" cstate="print"/>
                    <a:srcRect/>
                    <a:stretch>
                      <a:fillRect/>
                    </a:stretch>
                  </pic:blipFill>
                  <pic:spPr>
                    <a:xfrm>
                      <a:off x="0" y="0"/>
                      <a:ext cx="190500" cy="140335"/>
                    </a:xfrm>
                    <a:prstGeom prst="rect">
                      <a:avLst/>
                    </a:prstGeom>
                    <a:noFill/>
                    <a:ln w="9525">
                      <a:noFill/>
                      <a:miter lim="800000"/>
                      <a:headEnd/>
                      <a:tailEnd/>
                    </a:ln>
                  </pic:spPr>
                </pic:pic>
              </a:graphicData>
            </a:graphic>
          </wp:inline>
        </w:drawing>
      </w:r>
      <w:r>
        <w:rPr>
          <w:rFonts w:ascii="宋体" w:hAnsi="宋体" w:cs="宋体"/>
          <w:snapToGrid w:val="0"/>
          <w:kern w:val="0"/>
          <w:szCs w:val="21"/>
          <w:u w:val="single"/>
        </w:rPr>
        <w:t>http://www.cqstgxy.com/）</w:t>
      </w:r>
      <w:r>
        <w:rPr>
          <w:rFonts w:hint="eastAsia" w:ascii="宋体" w:hAnsi="宋体" w:cs="宋体"/>
          <w:snapToGrid w:val="0"/>
          <w:kern w:val="0"/>
          <w:szCs w:val="21"/>
          <w:u w:val="single"/>
        </w:rPr>
        <w:t>网</w:t>
      </w:r>
      <w:r>
        <w:rPr>
          <w:rFonts w:ascii="宋体" w:hAnsi="宋体" w:cs="宋体"/>
          <w:snapToGrid w:val="0"/>
          <w:kern w:val="0"/>
          <w:szCs w:val="21"/>
        </w:rPr>
        <w:t>上仔细阅读和下载：竞争性比选文件（含工程量清单）、图纸、澄清、修改、补充通知、最高限价通知等全部内容。不管下载与否都视为潜在竞选人全部知晓有关比选、竞选过程和全部内容。</w:t>
      </w:r>
      <w:bookmarkStart w:id="24" w:name="_Toc463772161"/>
      <w:bookmarkStart w:id="25" w:name="_Toc488005247"/>
      <w:bookmarkStart w:id="26" w:name="_Toc437009335"/>
      <w:bookmarkStart w:id="27" w:name="_Toc54249436"/>
    </w:p>
    <w:p>
      <w:pPr>
        <w:pStyle w:val="5"/>
        <w:spacing w:line="520" w:lineRule="exact"/>
        <w:rPr>
          <w:rFonts w:ascii="宋体" w:eastAsia="宋体"/>
          <w:snapToGrid w:val="0"/>
          <w:sz w:val="21"/>
          <w:szCs w:val="21"/>
        </w:rPr>
      </w:pPr>
      <w:r>
        <w:rPr>
          <w:rFonts w:ascii="宋体" w:eastAsia="宋体"/>
          <w:snapToGrid w:val="0"/>
          <w:sz w:val="21"/>
          <w:szCs w:val="21"/>
        </w:rPr>
        <w:t>5</w:t>
      </w:r>
      <w:r>
        <w:rPr>
          <w:rFonts w:hint="eastAsia" w:ascii="宋体" w:eastAsia="宋体"/>
          <w:snapToGrid w:val="0"/>
          <w:sz w:val="21"/>
          <w:szCs w:val="21"/>
        </w:rPr>
        <w:t>．</w:t>
      </w:r>
      <w:bookmarkEnd w:id="24"/>
      <w:bookmarkEnd w:id="25"/>
      <w:bookmarkEnd w:id="26"/>
      <w:r>
        <w:rPr>
          <w:rFonts w:hint="eastAsia" w:ascii="宋体" w:eastAsia="宋体"/>
          <w:snapToGrid w:val="0"/>
          <w:sz w:val="21"/>
          <w:szCs w:val="21"/>
        </w:rPr>
        <w:t>竞标文件的递交</w:t>
      </w:r>
      <w:bookmarkEnd w:id="27"/>
    </w:p>
    <w:p>
      <w:pPr>
        <w:adjustRightInd w:val="0"/>
        <w:snapToGrid w:val="0"/>
        <w:spacing w:line="520" w:lineRule="exact"/>
        <w:ind w:firstLine="420" w:firstLineChars="200"/>
        <w:rPr>
          <w:rFonts w:ascii="宋体" w:hAnsi="宋体" w:cs="宋体"/>
          <w:szCs w:val="21"/>
        </w:rPr>
      </w:pPr>
      <w:bookmarkStart w:id="28" w:name="_Toc463772162"/>
      <w:bookmarkStart w:id="29" w:name="_Toc488005248"/>
      <w:r>
        <w:rPr>
          <w:rFonts w:hint="eastAsia" w:ascii="宋体" w:hAnsi="宋体" w:cs="宋体"/>
          <w:szCs w:val="21"/>
        </w:rPr>
        <w:t>5.1</w:t>
      </w:r>
      <w:r>
        <w:rPr>
          <w:rFonts w:hint="eastAsia" w:ascii="宋体" w:hAnsi="宋体" w:cs="宋体"/>
          <w:snapToGrid w:val="0"/>
          <w:kern w:val="0"/>
          <w:szCs w:val="21"/>
        </w:rPr>
        <w:t>竞标文件递交截止时间为</w:t>
      </w:r>
      <w:r>
        <w:rPr>
          <w:rFonts w:hint="eastAsia" w:ascii="宋体" w:hAnsi="宋体" w:cs="宋体"/>
          <w:b/>
          <w:snapToGrid w:val="0"/>
          <w:kern w:val="0"/>
          <w:szCs w:val="21"/>
          <w:u w:val="single"/>
        </w:rPr>
        <w:t>2021</w:t>
      </w:r>
      <w:r>
        <w:rPr>
          <w:rFonts w:hint="eastAsia" w:ascii="宋体" w:hAnsi="宋体" w:cs="宋体"/>
          <w:b/>
          <w:snapToGrid w:val="0"/>
          <w:kern w:val="0"/>
          <w:szCs w:val="21"/>
        </w:rPr>
        <w:t>年</w:t>
      </w:r>
      <w:r>
        <w:rPr>
          <w:rFonts w:hint="eastAsia" w:ascii="宋体" w:hAnsi="宋体" w:cs="宋体"/>
          <w:b/>
          <w:snapToGrid w:val="0"/>
          <w:kern w:val="0"/>
          <w:szCs w:val="21"/>
          <w:u w:val="single"/>
        </w:rPr>
        <w:t xml:space="preserve"> 2 </w:t>
      </w:r>
      <w:r>
        <w:rPr>
          <w:rFonts w:hint="eastAsia" w:ascii="宋体" w:hAnsi="宋体" w:cs="宋体"/>
          <w:b/>
          <w:snapToGrid w:val="0"/>
          <w:kern w:val="0"/>
          <w:szCs w:val="21"/>
        </w:rPr>
        <w:t>月</w:t>
      </w:r>
      <w:r>
        <w:rPr>
          <w:rFonts w:hint="eastAsia" w:ascii="宋体" w:hAnsi="宋体" w:cs="宋体"/>
          <w:b/>
          <w:snapToGrid w:val="0"/>
          <w:kern w:val="0"/>
          <w:szCs w:val="21"/>
          <w:u w:val="single"/>
        </w:rPr>
        <w:t xml:space="preserve"> </w:t>
      </w:r>
      <w:r>
        <w:rPr>
          <w:rFonts w:hint="eastAsia" w:ascii="宋体" w:hAnsi="宋体" w:cs="宋体"/>
          <w:b/>
          <w:snapToGrid w:val="0"/>
          <w:kern w:val="0"/>
          <w:szCs w:val="21"/>
          <w:u w:val="single"/>
          <w:lang w:val="en-US" w:eastAsia="zh-CN"/>
        </w:rPr>
        <w:t>7</w:t>
      </w:r>
      <w:r>
        <w:rPr>
          <w:rFonts w:hint="eastAsia" w:ascii="宋体" w:hAnsi="宋体" w:cs="宋体"/>
          <w:b/>
          <w:snapToGrid w:val="0"/>
          <w:kern w:val="0"/>
          <w:szCs w:val="21"/>
          <w:u w:val="single"/>
        </w:rPr>
        <w:t xml:space="preserve"> </w:t>
      </w:r>
      <w:r>
        <w:rPr>
          <w:rFonts w:hint="eastAsia" w:ascii="宋体" w:hAnsi="宋体" w:cs="宋体"/>
          <w:b/>
          <w:snapToGrid w:val="0"/>
          <w:kern w:val="0"/>
          <w:szCs w:val="21"/>
        </w:rPr>
        <w:t>日</w:t>
      </w:r>
      <w:r>
        <w:rPr>
          <w:rFonts w:ascii="宋体" w:hAnsi="宋体" w:cs="宋体"/>
          <w:b/>
          <w:snapToGrid w:val="0"/>
          <w:kern w:val="0"/>
          <w:szCs w:val="21"/>
          <w:u w:val="single"/>
        </w:rPr>
        <w:t xml:space="preserve"> </w:t>
      </w:r>
      <w:r>
        <w:rPr>
          <w:rFonts w:hint="eastAsia" w:ascii="宋体" w:hAnsi="宋体" w:cs="宋体"/>
          <w:b/>
          <w:snapToGrid w:val="0"/>
          <w:kern w:val="0"/>
          <w:szCs w:val="21"/>
          <w:u w:val="single"/>
        </w:rPr>
        <w:t>1</w:t>
      </w:r>
      <w:r>
        <w:rPr>
          <w:rFonts w:hint="eastAsia" w:ascii="宋体" w:hAnsi="宋体" w:cs="宋体"/>
          <w:b/>
          <w:snapToGrid w:val="0"/>
          <w:kern w:val="0"/>
          <w:szCs w:val="21"/>
          <w:u w:val="single"/>
          <w:lang w:val="en-US" w:eastAsia="zh-CN"/>
        </w:rPr>
        <w:t>0</w:t>
      </w:r>
      <w:r>
        <w:rPr>
          <w:rFonts w:hint="eastAsia" w:ascii="宋体" w:hAnsi="宋体" w:cs="宋体"/>
          <w:b/>
          <w:snapToGrid w:val="0"/>
          <w:kern w:val="0"/>
          <w:szCs w:val="21"/>
          <w:u w:val="single"/>
        </w:rPr>
        <w:t xml:space="preserve"> </w:t>
      </w:r>
      <w:r>
        <w:rPr>
          <w:rFonts w:hint="eastAsia" w:ascii="宋体" w:hAnsi="宋体" w:cs="宋体"/>
          <w:b/>
          <w:snapToGrid w:val="0"/>
          <w:kern w:val="0"/>
          <w:szCs w:val="21"/>
        </w:rPr>
        <w:t>时</w:t>
      </w:r>
      <w:r>
        <w:rPr>
          <w:rFonts w:hint="eastAsia" w:ascii="宋体" w:hAnsi="宋体" w:cs="宋体"/>
          <w:b/>
          <w:snapToGrid w:val="0"/>
          <w:kern w:val="0"/>
          <w:szCs w:val="21"/>
          <w:u w:val="single"/>
        </w:rPr>
        <w:t>00</w:t>
      </w:r>
      <w:r>
        <w:rPr>
          <w:rFonts w:hint="eastAsia" w:ascii="宋体" w:hAnsi="宋体" w:cs="宋体"/>
          <w:b/>
          <w:snapToGrid w:val="0"/>
          <w:kern w:val="0"/>
          <w:szCs w:val="21"/>
        </w:rPr>
        <w:t>分</w:t>
      </w:r>
      <w:r>
        <w:rPr>
          <w:rFonts w:hint="eastAsia" w:ascii="宋体" w:hAnsi="宋体" w:cs="宋体"/>
          <w:snapToGrid w:val="0"/>
          <w:kern w:val="0"/>
          <w:szCs w:val="21"/>
        </w:rPr>
        <w:t>。</w:t>
      </w:r>
      <w:r>
        <w:rPr>
          <w:rFonts w:hint="eastAsia" w:ascii="宋体" w:hAnsi="宋体" w:cs="宋体"/>
          <w:kern w:val="0"/>
          <w:szCs w:val="21"/>
        </w:rPr>
        <w:t>递</w:t>
      </w:r>
      <w:r>
        <w:rPr>
          <w:rFonts w:hint="eastAsia" w:ascii="宋体" w:hAnsi="宋体" w:cs="宋体"/>
          <w:snapToGrid w:val="0"/>
          <w:kern w:val="0"/>
          <w:szCs w:val="21"/>
        </w:rPr>
        <w:t>交地点：</w:t>
      </w:r>
      <w:r>
        <w:rPr>
          <w:rFonts w:hint="eastAsia" w:ascii="宋体" w:hAnsi="宋体" w:cs="宋体"/>
          <w:snapToGrid w:val="0"/>
          <w:kern w:val="0"/>
          <w:szCs w:val="21"/>
          <w:u w:val="single"/>
        </w:rPr>
        <w:t>重庆两江新区水土高新技术产业园建设投资有限公司403室</w:t>
      </w:r>
      <w:r>
        <w:rPr>
          <w:rFonts w:hint="eastAsia" w:ascii="宋体" w:hAnsi="宋体" w:cs="宋体"/>
          <w:snapToGrid w:val="0"/>
          <w:kern w:val="0"/>
          <w:szCs w:val="21"/>
        </w:rPr>
        <w:t>。</w:t>
      </w:r>
    </w:p>
    <w:p>
      <w:pPr>
        <w:adjustRightInd w:val="0"/>
        <w:snapToGrid w:val="0"/>
        <w:spacing w:line="520" w:lineRule="exact"/>
        <w:ind w:firstLine="420" w:firstLineChars="200"/>
        <w:rPr>
          <w:rFonts w:ascii="宋体" w:hAnsi="宋体" w:cs="宋体"/>
          <w:szCs w:val="21"/>
        </w:rPr>
      </w:pPr>
      <w:r>
        <w:rPr>
          <w:rFonts w:hint="eastAsia" w:ascii="宋体" w:hAnsi="宋体" w:cs="宋体"/>
          <w:kern w:val="0"/>
          <w:szCs w:val="21"/>
        </w:rPr>
        <w:t>5.2 逾期送达的或者未送达指定地点的竞标文件，比选人将不予受理。</w:t>
      </w:r>
    </w:p>
    <w:p>
      <w:pPr>
        <w:spacing w:line="520" w:lineRule="exact"/>
        <w:rPr>
          <w:rFonts w:ascii="宋体" w:hAnsi="宋体" w:cs="宋体"/>
          <w:b/>
          <w:szCs w:val="21"/>
        </w:rPr>
      </w:pPr>
      <w:r>
        <w:rPr>
          <w:rFonts w:hint="eastAsia" w:ascii="宋体" w:hAnsi="宋体" w:cs="宋体"/>
          <w:b/>
          <w:szCs w:val="21"/>
        </w:rPr>
        <w:t>6</w:t>
      </w:r>
      <w:bookmarkEnd w:id="28"/>
      <w:bookmarkEnd w:id="29"/>
      <w:bookmarkStart w:id="30" w:name="_Toc488005249"/>
      <w:bookmarkStart w:id="31" w:name="_Toc437009336"/>
      <w:bookmarkStart w:id="32" w:name="_Toc463772163"/>
      <w:r>
        <w:rPr>
          <w:rFonts w:hint="eastAsia" w:ascii="宋体" w:hAnsi="宋体" w:cs="宋体"/>
          <w:b/>
          <w:szCs w:val="21"/>
        </w:rPr>
        <w:t>.联系方式</w:t>
      </w:r>
      <w:bookmarkEnd w:id="30"/>
      <w:bookmarkEnd w:id="31"/>
      <w:bookmarkEnd w:id="32"/>
    </w:p>
    <w:tbl>
      <w:tblPr>
        <w:tblStyle w:val="49"/>
        <w:tblW w:w="9675" w:type="dxa"/>
        <w:tblInd w:w="-72" w:type="dxa"/>
        <w:tblLayout w:type="fixed"/>
        <w:tblCellMar>
          <w:top w:w="0" w:type="dxa"/>
          <w:left w:w="108" w:type="dxa"/>
          <w:bottom w:w="0" w:type="dxa"/>
          <w:right w:w="108" w:type="dxa"/>
        </w:tblCellMar>
      </w:tblPr>
      <w:tblGrid>
        <w:gridCol w:w="4608"/>
        <w:gridCol w:w="5067"/>
      </w:tblGrid>
      <w:tr>
        <w:tblPrEx>
          <w:tblLayout w:type="fixed"/>
          <w:tblCellMar>
            <w:top w:w="0" w:type="dxa"/>
            <w:left w:w="108" w:type="dxa"/>
            <w:bottom w:w="0" w:type="dxa"/>
            <w:right w:w="108" w:type="dxa"/>
          </w:tblCellMar>
        </w:tblPrEx>
        <w:trPr>
          <w:trHeight w:val="852" w:hRule="exact"/>
        </w:trPr>
        <w:tc>
          <w:tcPr>
            <w:tcW w:w="4608" w:type="dxa"/>
          </w:tcPr>
          <w:p>
            <w:pPr>
              <w:spacing w:line="400" w:lineRule="exact"/>
              <w:rPr>
                <w:rFonts w:ascii="宋体" w:hAnsi="宋体" w:cs="宋体"/>
                <w:snapToGrid w:val="0"/>
                <w:kern w:val="0"/>
                <w:szCs w:val="21"/>
              </w:rPr>
            </w:pPr>
            <w:r>
              <w:rPr>
                <w:rFonts w:hint="eastAsia" w:ascii="宋体" w:hAnsi="宋体" w:cs="宋体"/>
                <w:szCs w:val="21"/>
              </w:rPr>
              <w:t>比选人：</w:t>
            </w:r>
            <w:r>
              <w:rPr>
                <w:rFonts w:hint="eastAsia" w:ascii="宋体" w:hAnsi="宋体" w:cs="宋体"/>
                <w:snapToGrid w:val="0"/>
                <w:kern w:val="0"/>
                <w:szCs w:val="21"/>
              </w:rPr>
              <w:t>重庆两江新区水土高新技术产业园建设</w:t>
            </w:r>
          </w:p>
          <w:p>
            <w:pPr>
              <w:spacing w:line="400" w:lineRule="exact"/>
              <w:ind w:firstLine="840" w:firstLineChars="400"/>
              <w:rPr>
                <w:rFonts w:ascii="宋体" w:hAnsi="宋体" w:cs="宋体"/>
                <w:szCs w:val="21"/>
              </w:rPr>
            </w:pPr>
            <w:r>
              <w:rPr>
                <w:rFonts w:hint="eastAsia" w:ascii="宋体" w:hAnsi="宋体" w:cs="宋体"/>
                <w:snapToGrid w:val="0"/>
                <w:kern w:val="0"/>
                <w:szCs w:val="21"/>
              </w:rPr>
              <w:t>投资有限公司</w:t>
            </w:r>
          </w:p>
        </w:tc>
        <w:tc>
          <w:tcPr>
            <w:tcW w:w="5067" w:type="dxa"/>
          </w:tcPr>
          <w:p>
            <w:pPr>
              <w:spacing w:line="400" w:lineRule="exact"/>
              <w:ind w:firstLine="315" w:firstLineChars="150"/>
              <w:rPr>
                <w:rFonts w:ascii="宋体" w:hAnsi="宋体" w:cs="宋体"/>
                <w:szCs w:val="21"/>
              </w:rPr>
            </w:pPr>
            <w:r>
              <w:rPr>
                <w:rFonts w:hint="eastAsia" w:ascii="宋体" w:hAnsi="宋体" w:cs="宋体"/>
                <w:szCs w:val="21"/>
              </w:rPr>
              <w:t>代理机构</w:t>
            </w:r>
            <w:r>
              <w:rPr>
                <w:rFonts w:hint="eastAsia" w:ascii="宋体" w:hAnsi="宋体"/>
                <w:szCs w:val="21"/>
              </w:rPr>
              <w:t>：福建省建融工程咨询有限公司</w:t>
            </w:r>
          </w:p>
        </w:tc>
      </w:tr>
      <w:tr>
        <w:tblPrEx>
          <w:tblLayout w:type="fixed"/>
          <w:tblCellMar>
            <w:top w:w="0" w:type="dxa"/>
            <w:left w:w="108" w:type="dxa"/>
            <w:bottom w:w="0" w:type="dxa"/>
            <w:right w:w="108" w:type="dxa"/>
          </w:tblCellMar>
        </w:tblPrEx>
        <w:trPr>
          <w:trHeight w:val="819" w:hRule="exact"/>
        </w:trPr>
        <w:tc>
          <w:tcPr>
            <w:tcW w:w="4608" w:type="dxa"/>
            <w:vAlign w:val="center"/>
          </w:tcPr>
          <w:p>
            <w:pPr>
              <w:spacing w:line="400" w:lineRule="exact"/>
              <w:rPr>
                <w:rFonts w:ascii="宋体" w:hAnsi="宋体" w:cs="宋体"/>
                <w:szCs w:val="21"/>
              </w:rPr>
            </w:pPr>
            <w:r>
              <w:rPr>
                <w:rFonts w:hint="eastAsia" w:ascii="宋体" w:hAnsi="宋体" w:cs="宋体"/>
                <w:szCs w:val="21"/>
              </w:rPr>
              <w:t>地  址：</w:t>
            </w:r>
            <w:r>
              <w:rPr>
                <w:rFonts w:hint="eastAsia" w:ascii="宋体" w:hAnsi="宋体" w:cs="宋体"/>
              </w:rPr>
              <w:t>重庆两江新区水土高新技术产业园</w:t>
            </w:r>
          </w:p>
        </w:tc>
        <w:tc>
          <w:tcPr>
            <w:tcW w:w="5067" w:type="dxa"/>
            <w:vAlign w:val="center"/>
          </w:tcPr>
          <w:p>
            <w:pPr>
              <w:spacing w:line="300" w:lineRule="exact"/>
              <w:ind w:left="315" w:leftChars="150"/>
              <w:rPr>
                <w:rFonts w:ascii="宋体" w:hAnsi="宋体"/>
                <w:szCs w:val="21"/>
                <w:lang w:val="zh-CN"/>
              </w:rPr>
            </w:pPr>
            <w:r>
              <w:rPr>
                <w:rFonts w:hint="eastAsia" w:ascii="宋体" w:hAnsi="宋体"/>
                <w:szCs w:val="21"/>
              </w:rPr>
              <w:t>地址：重庆市</w:t>
            </w:r>
            <w:r>
              <w:rPr>
                <w:rFonts w:ascii="宋体" w:hAnsi="宋体"/>
                <w:szCs w:val="21"/>
              </w:rPr>
              <w:t>九龙坡区科园一路渝高C座16-1</w:t>
            </w:r>
          </w:p>
        </w:tc>
      </w:tr>
      <w:tr>
        <w:tblPrEx>
          <w:tblLayout w:type="fixed"/>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szCs w:val="21"/>
              </w:rPr>
            </w:pPr>
            <w:r>
              <w:rPr>
                <w:rFonts w:hint="eastAsia" w:ascii="宋体" w:hAnsi="宋体" w:cs="宋体"/>
                <w:szCs w:val="21"/>
              </w:rPr>
              <w:t>联系人：郑老师</w:t>
            </w:r>
          </w:p>
        </w:tc>
        <w:tc>
          <w:tcPr>
            <w:tcW w:w="5067" w:type="dxa"/>
            <w:vAlign w:val="center"/>
          </w:tcPr>
          <w:p>
            <w:pPr>
              <w:spacing w:line="400" w:lineRule="exact"/>
              <w:ind w:firstLine="315" w:firstLineChars="150"/>
              <w:rPr>
                <w:rFonts w:ascii="宋体" w:hAnsi="宋体" w:cs="宋体"/>
                <w:szCs w:val="21"/>
              </w:rPr>
            </w:pPr>
            <w:r>
              <w:rPr>
                <w:rFonts w:hint="eastAsia" w:ascii="宋体" w:hAnsi="宋体" w:cs="宋体"/>
                <w:szCs w:val="21"/>
              </w:rPr>
              <w:t>联系人：沈老师</w:t>
            </w:r>
          </w:p>
        </w:tc>
      </w:tr>
      <w:tr>
        <w:tblPrEx>
          <w:tblLayout w:type="fixed"/>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szCs w:val="21"/>
              </w:rPr>
            </w:pPr>
            <w:r>
              <w:rPr>
                <w:rFonts w:hint="eastAsia" w:ascii="宋体" w:hAnsi="宋体" w:cs="宋体"/>
                <w:szCs w:val="21"/>
              </w:rPr>
              <w:t>电  话：</w:t>
            </w:r>
            <w:r>
              <w:rPr>
                <w:rFonts w:hint="eastAsia" w:ascii="宋体" w:hAnsi="宋体"/>
                <w:szCs w:val="21"/>
              </w:rPr>
              <w:t>023-60313543</w:t>
            </w:r>
          </w:p>
        </w:tc>
        <w:tc>
          <w:tcPr>
            <w:tcW w:w="5067" w:type="dxa"/>
            <w:vAlign w:val="center"/>
          </w:tcPr>
          <w:p>
            <w:pPr>
              <w:spacing w:line="400" w:lineRule="exact"/>
              <w:ind w:firstLine="315" w:firstLineChars="150"/>
              <w:rPr>
                <w:rFonts w:ascii="宋体" w:hAnsi="宋体" w:cs="宋体"/>
                <w:szCs w:val="21"/>
              </w:rPr>
            </w:pPr>
            <w:r>
              <w:rPr>
                <w:rFonts w:hint="eastAsia" w:ascii="宋体" w:hAnsi="宋体" w:cs="宋体"/>
                <w:szCs w:val="21"/>
              </w:rPr>
              <w:t>电  话：023-68171068</w:t>
            </w:r>
          </w:p>
        </w:tc>
      </w:tr>
      <w:tr>
        <w:tblPrEx>
          <w:tblLayout w:type="fixed"/>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szCs w:val="21"/>
              </w:rPr>
            </w:pPr>
            <w:r>
              <w:rPr>
                <w:rFonts w:hint="eastAsia" w:ascii="宋体" w:hAnsi="宋体" w:cs="MingLiU"/>
                <w:snapToGrid w:val="0"/>
              </w:rPr>
              <w:t>传  真：023-68235777</w:t>
            </w:r>
          </w:p>
        </w:tc>
        <w:tc>
          <w:tcPr>
            <w:tcW w:w="5067" w:type="dxa"/>
            <w:vAlign w:val="center"/>
          </w:tcPr>
          <w:p>
            <w:pPr>
              <w:spacing w:line="400" w:lineRule="exact"/>
              <w:ind w:firstLine="315" w:firstLineChars="150"/>
              <w:rPr>
                <w:rFonts w:ascii="宋体" w:hAnsi="宋体" w:cs="宋体"/>
                <w:szCs w:val="21"/>
              </w:rPr>
            </w:pPr>
            <w:r>
              <w:rPr>
                <w:rFonts w:hint="eastAsia" w:ascii="宋体" w:hAnsi="宋体" w:cs="宋体"/>
                <w:szCs w:val="21"/>
              </w:rPr>
              <w:t>传  真：023-68682017</w:t>
            </w:r>
          </w:p>
        </w:tc>
      </w:tr>
    </w:tbl>
    <w:p>
      <w:pPr>
        <w:wordWrap w:val="0"/>
        <w:spacing w:line="360" w:lineRule="auto"/>
        <w:jc w:val="right"/>
        <w:rPr>
          <w:rFonts w:ascii="宋体" w:hAnsi="宋体"/>
          <w:b/>
        </w:rPr>
      </w:pPr>
      <w:r>
        <w:rPr>
          <w:rFonts w:hint="eastAsia" w:ascii="宋体" w:hAnsi="宋体"/>
          <w:b/>
          <w:u w:val="single"/>
        </w:rPr>
        <w:t xml:space="preserve"> 2021</w:t>
      </w:r>
      <w:r>
        <w:rPr>
          <w:rFonts w:hint="eastAsia" w:ascii="宋体" w:hAnsi="宋体"/>
          <w:b/>
        </w:rPr>
        <w:t>年</w:t>
      </w:r>
      <w:r>
        <w:rPr>
          <w:rFonts w:hint="eastAsia" w:ascii="宋体" w:hAnsi="宋体"/>
          <w:b/>
          <w:u w:val="single"/>
        </w:rPr>
        <w:t xml:space="preserve"> 2 </w:t>
      </w:r>
      <w:r>
        <w:rPr>
          <w:rFonts w:hint="eastAsia" w:ascii="宋体" w:hAnsi="宋体"/>
          <w:b/>
        </w:rPr>
        <w:t>月</w:t>
      </w:r>
      <w:r>
        <w:rPr>
          <w:rFonts w:hint="eastAsia" w:ascii="宋体" w:hAnsi="宋体"/>
          <w:b/>
          <w:u w:val="single"/>
        </w:rPr>
        <w:t xml:space="preserve"> 2 </w:t>
      </w:r>
      <w:r>
        <w:rPr>
          <w:rFonts w:hint="eastAsia" w:ascii="宋体" w:hAnsi="宋体"/>
          <w:b/>
        </w:rPr>
        <w:t>日</w:t>
      </w:r>
    </w:p>
    <w:p>
      <w:pPr>
        <w:spacing w:line="360" w:lineRule="exact"/>
        <w:jc w:val="right"/>
        <w:rPr>
          <w:rFonts w:ascii="宋体" w:hAnsi="宋体"/>
          <w:sz w:val="24"/>
        </w:rPr>
      </w:pPr>
    </w:p>
    <w:p>
      <w:pPr>
        <w:spacing w:line="360" w:lineRule="exact"/>
        <w:ind w:firstLine="723" w:firstLineChars="200"/>
        <w:rPr>
          <w:rFonts w:ascii="宋体" w:hAnsi="宋体" w:cs="宋体"/>
          <w:b/>
          <w:snapToGrid w:val="0"/>
          <w:kern w:val="0"/>
          <w:sz w:val="36"/>
          <w:szCs w:val="36"/>
        </w:rPr>
      </w:pPr>
      <w:r>
        <w:rPr>
          <w:rFonts w:hint="eastAsia" w:ascii="宋体" w:hAnsi="宋体" w:cs="宋体"/>
          <w:b/>
          <w:snapToGrid w:val="0"/>
          <w:kern w:val="0"/>
          <w:sz w:val="36"/>
          <w:szCs w:val="36"/>
        </w:rPr>
        <w:br w:type="page"/>
      </w:r>
    </w:p>
    <w:p>
      <w:pPr>
        <w:pStyle w:val="4"/>
        <w:spacing w:before="0" w:after="0" w:line="500" w:lineRule="exact"/>
        <w:jc w:val="center"/>
        <w:rPr>
          <w:rFonts w:ascii="宋体" w:hAnsi="宋体" w:cs="宋体"/>
          <w:b w:val="0"/>
          <w:snapToGrid w:val="0"/>
          <w:kern w:val="0"/>
          <w:sz w:val="36"/>
          <w:szCs w:val="36"/>
        </w:rPr>
      </w:pPr>
      <w:bookmarkStart w:id="33" w:name="_Toc54249437"/>
      <w:r>
        <w:rPr>
          <w:rFonts w:hint="eastAsia" w:ascii="宋体" w:hAnsi="宋体" w:cs="宋体"/>
          <w:b w:val="0"/>
          <w:snapToGrid w:val="0"/>
          <w:kern w:val="0"/>
          <w:sz w:val="36"/>
          <w:szCs w:val="36"/>
        </w:rPr>
        <w:t>第二章  竞标人须知</w:t>
      </w:r>
      <w:bookmarkEnd w:id="33"/>
    </w:p>
    <w:p>
      <w:pPr>
        <w:spacing w:line="500" w:lineRule="exact"/>
        <w:jc w:val="center"/>
        <w:rPr>
          <w:rFonts w:ascii="宋体" w:hAnsi="宋体" w:cs="宋体"/>
          <w:b/>
          <w:snapToGrid w:val="0"/>
          <w:sz w:val="28"/>
          <w:szCs w:val="28"/>
        </w:rPr>
      </w:pPr>
      <w:bookmarkStart w:id="34" w:name="_Toc508140491"/>
      <w:bookmarkStart w:id="35" w:name="_Toc317863421"/>
      <w:bookmarkStart w:id="36" w:name="_Toc520209021"/>
      <w:bookmarkStart w:id="37" w:name="_Toc508140613"/>
      <w:r>
        <w:rPr>
          <w:rFonts w:hint="eastAsia" w:ascii="宋体" w:hAnsi="宋体" w:cs="宋体"/>
          <w:b/>
          <w:snapToGrid w:val="0"/>
          <w:sz w:val="28"/>
          <w:szCs w:val="28"/>
        </w:rPr>
        <w:t>竞标人须知前</w:t>
      </w:r>
      <w:r>
        <w:rPr>
          <w:rFonts w:hint="eastAsia" w:ascii="宋体" w:hAnsi="宋体" w:cs="宋体"/>
          <w:b/>
          <w:sz w:val="28"/>
          <w:szCs w:val="28"/>
        </w:rPr>
        <w:t>附表</w:t>
      </w:r>
      <w:bookmarkEnd w:id="34"/>
      <w:bookmarkEnd w:id="35"/>
      <w:bookmarkEnd w:id="36"/>
      <w:bookmarkEnd w:id="37"/>
    </w:p>
    <w:tbl>
      <w:tblPr>
        <w:tblStyle w:val="49"/>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24"/>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条款号</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条款名称</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比选人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ascii="宋体" w:hAnsi="宋体"/>
              </w:rPr>
            </w:pPr>
            <w:r>
              <w:rPr>
                <w:rFonts w:hint="eastAsia" w:ascii="宋体" w:hAnsi="宋体"/>
              </w:rPr>
              <w:t>比选人：重庆两江新区水土高新技术产业园建设投资有限公司</w:t>
            </w:r>
          </w:p>
          <w:p>
            <w:pPr>
              <w:spacing w:line="360" w:lineRule="auto"/>
              <w:ind w:firstLine="420" w:firstLineChars="200"/>
              <w:contextualSpacing/>
              <w:rPr>
                <w:rFonts w:ascii="宋体" w:hAnsi="宋体"/>
              </w:rPr>
            </w:pPr>
            <w:r>
              <w:rPr>
                <w:rFonts w:hint="eastAsia" w:ascii="宋体" w:hAnsi="宋体"/>
              </w:rPr>
              <w:t>地址：重庆两江新区水土高新技术产业园</w:t>
            </w:r>
          </w:p>
          <w:p>
            <w:pPr>
              <w:spacing w:line="360" w:lineRule="auto"/>
              <w:ind w:firstLine="420" w:firstLineChars="200"/>
              <w:contextualSpacing/>
              <w:rPr>
                <w:rFonts w:ascii="宋体" w:hAnsi="宋体"/>
              </w:rPr>
            </w:pPr>
            <w:r>
              <w:rPr>
                <w:rFonts w:hint="eastAsia" w:ascii="宋体" w:hAnsi="宋体"/>
              </w:rPr>
              <w:t>联系人：郑老师</w:t>
            </w:r>
          </w:p>
          <w:p>
            <w:pPr>
              <w:spacing w:line="360" w:lineRule="auto"/>
              <w:ind w:firstLine="420" w:firstLineChars="200"/>
              <w:contextualSpacing/>
              <w:rPr>
                <w:rFonts w:ascii="宋体" w:hAnsi="宋体"/>
              </w:rPr>
            </w:pPr>
            <w:r>
              <w:rPr>
                <w:rFonts w:hint="eastAsia" w:ascii="宋体" w:hAnsi="宋体"/>
              </w:rPr>
              <w:t>电话：023-60313543</w:t>
            </w:r>
          </w:p>
          <w:p>
            <w:pPr>
              <w:spacing w:line="360" w:lineRule="auto"/>
              <w:ind w:firstLine="420" w:firstLineChars="200"/>
              <w:contextualSpacing/>
              <w:rPr>
                <w:rFonts w:ascii="宋体" w:hAnsi="宋体"/>
              </w:rPr>
            </w:pPr>
            <w:r>
              <w:rPr>
                <w:rFonts w:hint="eastAsia" w:ascii="宋体" w:hAnsi="宋体"/>
              </w:rPr>
              <w:t>传真：023-68235777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1.1.3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比选代理机构</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ascii="宋体" w:hAnsi="宋体"/>
              </w:rPr>
            </w:pPr>
            <w:r>
              <w:rPr>
                <w:rFonts w:hint="eastAsia" w:ascii="宋体" w:hAnsi="宋体"/>
              </w:rPr>
              <w:t>比选</w:t>
            </w:r>
            <w:r>
              <w:rPr>
                <w:rFonts w:ascii="宋体" w:hAnsi="宋体"/>
              </w:rPr>
              <w:t>代理：</w:t>
            </w:r>
            <w:r>
              <w:rPr>
                <w:rFonts w:hint="eastAsia" w:ascii="宋体" w:hAnsi="宋体"/>
              </w:rPr>
              <w:t>、福建省建融工程咨询有限公司</w:t>
            </w:r>
          </w:p>
          <w:p>
            <w:pPr>
              <w:spacing w:line="360" w:lineRule="auto"/>
              <w:ind w:firstLine="420" w:firstLineChars="200"/>
              <w:contextualSpacing/>
              <w:rPr>
                <w:rFonts w:ascii="宋体" w:hAnsi="宋体"/>
              </w:rPr>
            </w:pPr>
            <w:r>
              <w:rPr>
                <w:rFonts w:hint="eastAsia" w:ascii="宋体" w:hAnsi="宋体"/>
              </w:rPr>
              <w:t>地  址：重庆市</w:t>
            </w:r>
            <w:r>
              <w:rPr>
                <w:rFonts w:ascii="宋体" w:hAnsi="宋体"/>
              </w:rPr>
              <w:t>九龙坡区科园一路渝高C座16-1</w:t>
            </w:r>
          </w:p>
          <w:p>
            <w:pPr>
              <w:spacing w:line="360" w:lineRule="auto"/>
              <w:ind w:firstLine="420" w:firstLineChars="200"/>
              <w:contextualSpacing/>
              <w:rPr>
                <w:rFonts w:ascii="宋体" w:hAnsi="宋体"/>
              </w:rPr>
            </w:pPr>
            <w:r>
              <w:rPr>
                <w:rFonts w:hint="eastAsia" w:ascii="宋体" w:hAnsi="宋体"/>
              </w:rPr>
              <w:t>联系人：沈老师</w:t>
            </w:r>
          </w:p>
          <w:p>
            <w:pPr>
              <w:spacing w:line="360" w:lineRule="auto"/>
              <w:ind w:firstLine="420" w:firstLineChars="200"/>
              <w:contextualSpacing/>
              <w:rPr>
                <w:rFonts w:ascii="宋体" w:hAnsi="宋体"/>
              </w:rPr>
            </w:pPr>
            <w:r>
              <w:rPr>
                <w:rFonts w:hint="eastAsia" w:ascii="宋体" w:hAnsi="宋体"/>
              </w:rPr>
              <w:t>电  话：023-68171068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资金来源</w:t>
            </w:r>
          </w:p>
        </w:tc>
        <w:tc>
          <w:tcPr>
            <w:tcW w:w="7143" w:type="dxa"/>
            <w:tcBorders>
              <w:top w:val="single" w:color="auto" w:sz="4" w:space="0"/>
              <w:left w:val="single" w:color="auto" w:sz="4" w:space="0"/>
              <w:bottom w:val="single" w:color="auto" w:sz="4" w:space="0"/>
              <w:right w:val="single" w:color="auto" w:sz="4" w:space="0"/>
            </w:tcBorders>
            <w:vAlign w:val="center"/>
          </w:tcPr>
          <w:p>
            <w:pPr>
              <w:pStyle w:val="187"/>
              <w:ind w:firstLine="420" w:firstLineChars="200"/>
              <w:rPr>
                <w:rFonts w:eastAsia="宋体" w:cs="宋体"/>
                <w:szCs w:val="21"/>
              </w:rPr>
            </w:pPr>
            <w:r>
              <w:rPr>
                <w:rFonts w:hint="eastAsia" w:eastAsia="宋体" w:cs="宋体"/>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比选范围</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cs="宋体"/>
                <w:szCs w:val="21"/>
              </w:rPr>
            </w:pPr>
            <w:r>
              <w:rPr>
                <w:rFonts w:hint="eastAsia" w:ascii="宋体" w:hAnsi="宋体" w:cs="宋体"/>
                <w:snapToGrid w:val="0"/>
                <w:szCs w:val="21"/>
              </w:rPr>
              <w:t>施工图范围内的</w:t>
            </w:r>
            <w:r>
              <w:t>电力工程、道路拆除、恢复道路工程及人行道树移栽工程</w:t>
            </w:r>
            <w:r>
              <w:rPr>
                <w:rFonts w:hint="eastAsia" w:ascii="宋体" w:hAnsi="宋体" w:cs="宋体"/>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1.3.2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计划工期</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szCs w:val="21"/>
              </w:rPr>
            </w:pPr>
            <w:r>
              <w:rPr>
                <w:rFonts w:hint="eastAsia" w:ascii="宋体" w:hAnsi="宋体"/>
                <w:szCs w:val="21"/>
              </w:rPr>
              <w:t>计划工期：  120 日历天（具体时间以合同约定为准</w:t>
            </w:r>
            <w:r>
              <w:rPr>
                <w:rFonts w:ascii="宋体" w:hAnsi="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1.3.3</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kern w:val="0"/>
                <w:szCs w:val="21"/>
              </w:rPr>
            </w:pPr>
            <w:r>
              <w:rPr>
                <w:rFonts w:hint="eastAsia" w:ascii="宋体" w:hAnsi="宋体" w:cs="宋体"/>
                <w:kern w:val="0"/>
                <w:szCs w:val="21"/>
              </w:rPr>
              <w:t>质量要求</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szCs w:val="21"/>
              </w:rPr>
              <w:t xml:space="preserve">    达到国家现行有关施工质量验收规范要求，并达到合格标准。</w:t>
            </w:r>
            <w:r>
              <w:rPr>
                <w:rFonts w:hint="eastAsia" w:ascii="宋体" w:hAnsi="宋体"/>
              </w:rPr>
              <w:t>本项目要求一次性验收合格</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竞标人资格条件及能力</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20" w:lineRule="exact"/>
              <w:ind w:firstLine="420" w:firstLineChars="200"/>
              <w:jc w:val="left"/>
              <w:rPr>
                <w:rFonts w:ascii="宋体" w:hAnsi="宋体"/>
              </w:rPr>
            </w:pPr>
            <w:r>
              <w:rPr>
                <w:rFonts w:hint="eastAsia" w:ascii="宋体" w:hAnsi="宋体" w:cs="宋体"/>
              </w:rPr>
              <w:t>本工程施工比选实行资格后审，</w:t>
            </w:r>
            <w:r>
              <w:rPr>
                <w:rFonts w:hint="eastAsia" w:ascii="宋体" w:hAnsi="宋体" w:cs="宋体"/>
                <w:kern w:val="0"/>
              </w:rPr>
              <w:t>竞标人应具备以下资格条件：</w:t>
            </w:r>
          </w:p>
          <w:p>
            <w:pPr>
              <w:autoSpaceDE w:val="0"/>
              <w:autoSpaceDN w:val="0"/>
              <w:adjustRightInd w:val="0"/>
              <w:snapToGrid w:val="0"/>
              <w:spacing w:line="520" w:lineRule="exact"/>
              <w:ind w:firstLine="417" w:firstLineChars="198"/>
              <w:jc w:val="left"/>
              <w:rPr>
                <w:rFonts w:ascii="宋体" w:hAnsi="宋体"/>
                <w:b/>
                <w:bCs/>
              </w:rPr>
            </w:pPr>
            <w:r>
              <w:rPr>
                <w:rFonts w:ascii="宋体" w:hAnsi="宋体" w:cs="宋体"/>
                <w:b/>
                <w:bCs/>
              </w:rPr>
              <w:t>1.</w:t>
            </w:r>
            <w:r>
              <w:rPr>
                <w:rFonts w:hint="eastAsia" w:ascii="宋体" w:hAnsi="宋体" w:cs="宋体"/>
                <w:b/>
                <w:bCs/>
              </w:rPr>
              <w:t>资质条件、营业执照及安全生产条件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cs="宋体"/>
              </w:rPr>
              <w:t>（</w:t>
            </w:r>
            <w:r>
              <w:rPr>
                <w:rFonts w:ascii="宋体" w:hAnsi="宋体" w:cs="宋体"/>
              </w:rPr>
              <w:t>1</w:t>
            </w:r>
            <w:r>
              <w:rPr>
                <w:rFonts w:hint="eastAsia" w:ascii="宋体" w:hAnsi="宋体" w:cs="宋体"/>
                <w:kern w:val="0"/>
              </w:rPr>
              <w:t>）</w:t>
            </w:r>
            <w:r>
              <w:rPr>
                <w:rFonts w:ascii="宋体" w:hAnsi="宋体"/>
                <w:szCs w:val="21"/>
              </w:rPr>
              <w:t>具备建设行政主管部门颁发的有效的</w:t>
            </w:r>
            <w:r>
              <w:rPr>
                <w:rFonts w:hint="eastAsia" w:ascii="宋体" w:hAnsi="宋体" w:cs="宋体"/>
                <w:snapToGrid w:val="0"/>
                <w:kern w:val="0"/>
                <w:szCs w:val="21"/>
                <w:u w:val="single"/>
              </w:rPr>
              <w:t>市政公用工程施工总承包三级及以上</w:t>
            </w:r>
            <w:r>
              <w:rPr>
                <w:rFonts w:hint="eastAsia" w:ascii="宋体" w:hAnsi="宋体"/>
                <w:szCs w:val="21"/>
              </w:rPr>
              <w:t>带二维码标识的资质证书</w:t>
            </w:r>
            <w:r>
              <w:rPr>
                <w:rFonts w:hint="eastAsia" w:ascii="宋体" w:hAnsi="宋体" w:cs="宋体"/>
                <w:kern w:val="0"/>
              </w:rPr>
              <w:t>。</w:t>
            </w:r>
            <w:r>
              <w:rPr>
                <w:rFonts w:hint="eastAsia" w:ascii="宋体" w:hAnsi="宋体" w:cs="宋体"/>
                <w:b/>
              </w:rPr>
              <w:t>（</w:t>
            </w:r>
            <w:r>
              <w:rPr>
                <w:rFonts w:hint="eastAsia" w:ascii="宋体" w:hAnsi="宋体"/>
                <w:b/>
                <w:szCs w:val="21"/>
              </w:rPr>
              <w:t>竞标人</w:t>
            </w:r>
            <w:r>
              <w:rPr>
                <w:rFonts w:ascii="宋体" w:hAnsi="宋体"/>
                <w:b/>
                <w:szCs w:val="21"/>
              </w:rPr>
              <w:t>须提供</w:t>
            </w:r>
            <w:r>
              <w:rPr>
                <w:rFonts w:hint="eastAsia" w:ascii="宋体" w:hAnsi="宋体"/>
                <w:b/>
                <w:szCs w:val="21"/>
              </w:rPr>
              <w:t>有效的带二维码标识的资质证书</w:t>
            </w:r>
            <w:r>
              <w:rPr>
                <w:rFonts w:ascii="宋体" w:hAnsi="宋体"/>
                <w:b/>
                <w:szCs w:val="21"/>
              </w:rPr>
              <w:t>复印件</w:t>
            </w:r>
            <w:r>
              <w:rPr>
                <w:rFonts w:hint="eastAsia" w:ascii="宋体" w:hAnsi="宋体"/>
                <w:b/>
                <w:szCs w:val="21"/>
              </w:rPr>
              <w:t>或扫描件）</w:t>
            </w:r>
            <w:r>
              <w:rPr>
                <w:rFonts w:ascii="宋体" w:hAnsi="宋体"/>
                <w:b/>
                <w:szCs w:val="21"/>
              </w:rPr>
              <w:t>。</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rPr>
              <w:t>（2）</w:t>
            </w:r>
            <w:r>
              <w:rPr>
                <w:rFonts w:hint="eastAsia" w:ascii="宋体" w:hAnsi="宋体"/>
                <w:szCs w:val="21"/>
              </w:rPr>
              <w:t>竞标人</w:t>
            </w:r>
            <w:r>
              <w:rPr>
                <w:rFonts w:ascii="宋体" w:hAnsi="宋体"/>
                <w:szCs w:val="21"/>
              </w:rPr>
              <w:t>须提供有效的带二维码</w:t>
            </w:r>
            <w:r>
              <w:rPr>
                <w:rFonts w:hint="eastAsia" w:ascii="宋体" w:hAnsi="宋体"/>
                <w:szCs w:val="21"/>
              </w:rPr>
              <w:t>标识</w:t>
            </w:r>
            <w:r>
              <w:rPr>
                <w:rFonts w:ascii="宋体" w:hAnsi="宋体"/>
                <w:szCs w:val="21"/>
              </w:rPr>
              <w:t>的营业执照复印件</w:t>
            </w:r>
            <w:r>
              <w:rPr>
                <w:rFonts w:hint="eastAsia" w:ascii="宋体" w:hAnsi="宋体"/>
                <w:szCs w:val="21"/>
              </w:rPr>
              <w:t>或扫描件</w:t>
            </w:r>
            <w:r>
              <w:rPr>
                <w:rFonts w:ascii="宋体" w:hAnsi="宋体"/>
                <w:szCs w:val="21"/>
              </w:rPr>
              <w:t>。</w:t>
            </w:r>
          </w:p>
          <w:p>
            <w:pPr>
              <w:autoSpaceDE w:val="0"/>
              <w:autoSpaceDN w:val="0"/>
              <w:adjustRightInd w:val="0"/>
              <w:snapToGrid w:val="0"/>
              <w:spacing w:line="520" w:lineRule="exact"/>
              <w:ind w:firstLine="415" w:firstLineChars="198"/>
              <w:jc w:val="left"/>
              <w:rPr>
                <w:rFonts w:ascii="宋体" w:hAnsi="宋体"/>
                <w:bCs/>
              </w:rPr>
            </w:pPr>
            <w:r>
              <w:rPr>
                <w:rFonts w:hint="eastAsia" w:ascii="宋体" w:hAnsi="宋体" w:cs="宋体"/>
              </w:rPr>
              <w:t>（</w:t>
            </w:r>
            <w:r>
              <w:rPr>
                <w:rFonts w:ascii="宋体" w:hAnsi="宋体" w:cs="宋体"/>
              </w:rPr>
              <w:t>3</w:t>
            </w:r>
            <w:r>
              <w:rPr>
                <w:rFonts w:hint="eastAsia" w:ascii="宋体" w:hAnsi="宋体" w:cs="宋体"/>
              </w:rPr>
              <w:t>）具备建设行政主管部门颁发的有效的安全生产许可证，企业主要负责人、拟担任该项目的项目经理和专职安全生产管理人员（即“三类人员”）具备相应建设行政主管部门颁发的安全生产考核合格证书。</w:t>
            </w:r>
            <w:r>
              <w:rPr>
                <w:rFonts w:hint="eastAsia" w:ascii="宋体" w:hAnsi="宋体" w:cs="宋体"/>
                <w:b/>
              </w:rPr>
              <w:t>（</w:t>
            </w:r>
            <w:r>
              <w:rPr>
                <w:rFonts w:hint="eastAsia" w:ascii="宋体" w:hAnsi="宋体"/>
                <w:b/>
                <w:szCs w:val="21"/>
              </w:rPr>
              <w:t>竞标人</w:t>
            </w:r>
            <w:r>
              <w:rPr>
                <w:rFonts w:hint="eastAsia" w:ascii="宋体" w:hAnsi="宋体" w:cs="宋体"/>
                <w:b/>
              </w:rPr>
              <w:t>须提供有效的安全生产许可证及“三类人员”安全生产考核合格证书复印件或扫描件）</w:t>
            </w:r>
            <w:r>
              <w:rPr>
                <w:rFonts w:hint="eastAsia" w:ascii="宋体" w:hAnsi="宋体" w:cs="宋体"/>
                <w:bCs/>
              </w:rPr>
              <w:t>。</w:t>
            </w:r>
          </w:p>
          <w:p>
            <w:pPr>
              <w:adjustRightInd w:val="0"/>
              <w:snapToGrid w:val="0"/>
              <w:spacing w:line="520" w:lineRule="exact"/>
              <w:ind w:firstLine="417" w:firstLineChars="198"/>
              <w:rPr>
                <w:rFonts w:ascii="宋体" w:hAnsi="宋体" w:cs="宋体"/>
                <w:b/>
                <w:bCs/>
              </w:rPr>
            </w:pPr>
            <w:r>
              <w:rPr>
                <w:rFonts w:ascii="宋体" w:hAnsi="宋体" w:cs="宋体"/>
                <w:b/>
                <w:bCs/>
              </w:rPr>
              <w:t>2.</w:t>
            </w:r>
            <w:r>
              <w:rPr>
                <w:rFonts w:hint="eastAsia" w:ascii="宋体" w:hAnsi="宋体" w:cs="宋体"/>
                <w:b/>
                <w:bCs/>
              </w:rPr>
              <w:t>业绩要求</w:t>
            </w:r>
          </w:p>
          <w:p>
            <w:pPr>
              <w:adjustRightInd w:val="0"/>
              <w:snapToGrid w:val="0"/>
              <w:spacing w:line="520" w:lineRule="exact"/>
              <w:ind w:firstLine="415" w:firstLineChars="198"/>
              <w:rPr>
                <w:rFonts w:ascii="宋体" w:hAnsi="宋体" w:cs="宋体"/>
                <w:szCs w:val="21"/>
              </w:rPr>
            </w:pPr>
            <w:r>
              <w:rPr>
                <w:rFonts w:hint="eastAsia" w:ascii="宋体" w:hAnsi="宋体" w:cs="宋体"/>
                <w:snapToGrid w:val="0"/>
                <w:kern w:val="0"/>
                <w:szCs w:val="21"/>
                <w:u w:val="single"/>
              </w:rPr>
              <w:t>2016</w:t>
            </w:r>
            <w:r>
              <w:rPr>
                <w:rFonts w:hint="eastAsia" w:ascii="宋体" w:hAnsi="宋体" w:cs="宋体"/>
                <w:snapToGrid w:val="0"/>
                <w:kern w:val="0"/>
                <w:szCs w:val="21"/>
              </w:rPr>
              <w:t>年</w:t>
            </w:r>
            <w:r>
              <w:rPr>
                <w:rFonts w:hint="eastAsia" w:ascii="宋体" w:hAnsi="宋体" w:cs="宋体"/>
                <w:snapToGrid w:val="0"/>
                <w:kern w:val="0"/>
                <w:szCs w:val="21"/>
                <w:u w:val="single"/>
              </w:rPr>
              <w:t>1</w:t>
            </w:r>
            <w:r>
              <w:rPr>
                <w:rFonts w:hint="eastAsia" w:ascii="宋体" w:hAnsi="宋体" w:cs="宋体"/>
                <w:snapToGrid w:val="0"/>
                <w:kern w:val="0"/>
                <w:szCs w:val="21"/>
              </w:rPr>
              <w:t>月</w:t>
            </w:r>
            <w:r>
              <w:rPr>
                <w:rFonts w:hint="eastAsia" w:ascii="宋体" w:hAnsi="宋体" w:cs="宋体"/>
                <w:snapToGrid w:val="0"/>
                <w:kern w:val="0"/>
                <w:szCs w:val="21"/>
                <w:u w:val="single"/>
              </w:rPr>
              <w:t xml:space="preserve"> 1 </w:t>
            </w:r>
            <w:r>
              <w:rPr>
                <w:rFonts w:hint="eastAsia" w:ascii="宋体" w:hAnsi="宋体" w:cs="宋体"/>
                <w:snapToGrid w:val="0"/>
                <w:kern w:val="0"/>
                <w:szCs w:val="21"/>
              </w:rPr>
              <w:t>日起至</w:t>
            </w:r>
            <w:r>
              <w:rPr>
                <w:rFonts w:hint="eastAsia" w:ascii="宋体" w:hAnsi="宋体" w:cs="宋体"/>
                <w:snapToGrid w:val="0"/>
                <w:kern w:val="0"/>
                <w:szCs w:val="21"/>
                <w:u w:val="single"/>
              </w:rPr>
              <w:t>投标截止日止（以竣工时间为准）</w:t>
            </w:r>
            <w:r>
              <w:rPr>
                <w:rFonts w:hint="eastAsia" w:ascii="宋体" w:hAnsi="宋体" w:cs="宋体"/>
                <w:snapToGrid w:val="0"/>
                <w:kern w:val="0"/>
                <w:szCs w:val="21"/>
              </w:rPr>
              <w:t>至少具有1个与本招标项目类似的合格工程业绩</w:t>
            </w:r>
            <w:r>
              <w:rPr>
                <w:rFonts w:hint="eastAsia" w:ascii="宋体" w:hAnsi="宋体" w:cs="宋体"/>
                <w:b/>
                <w:bCs/>
                <w:szCs w:val="21"/>
              </w:rPr>
              <w:t>（类似合格工程是指：单项合同金额为</w:t>
            </w:r>
            <w:r>
              <w:rPr>
                <w:rFonts w:ascii="宋体" w:hAnsi="宋体" w:cs="宋体"/>
                <w:b/>
                <w:bCs/>
                <w:szCs w:val="21"/>
              </w:rPr>
              <w:t>180</w:t>
            </w:r>
            <w:r>
              <w:rPr>
                <w:rFonts w:hint="eastAsia" w:ascii="宋体" w:hAnsi="宋体" w:cs="宋体"/>
                <w:b/>
                <w:bCs/>
                <w:szCs w:val="21"/>
              </w:rPr>
              <w:t>万元及以上，且完工验收合格的含电力排管或电力电缆管沟的市政工程施工业绩）。</w:t>
            </w:r>
          </w:p>
          <w:p>
            <w:pPr>
              <w:adjustRightInd w:val="0"/>
              <w:snapToGrid w:val="0"/>
              <w:spacing w:line="520" w:lineRule="exact"/>
              <w:ind w:firstLine="417" w:firstLineChars="198"/>
              <w:rPr>
                <w:rFonts w:ascii="宋体" w:hAnsi="宋体" w:cs="宋体"/>
                <w:b/>
                <w:bCs/>
                <w:szCs w:val="21"/>
              </w:rPr>
            </w:pPr>
            <w:r>
              <w:rPr>
                <w:rFonts w:hint="eastAsia" w:ascii="宋体" w:hAnsi="宋体" w:cs="宋体"/>
                <w:b/>
                <w:bCs/>
                <w:szCs w:val="21"/>
              </w:rPr>
              <w:t>（竞标人须提供每项业绩的中标通知书、合同协议书、竣工验收意见书(或预竣工验收意见书)</w:t>
            </w:r>
            <w:r>
              <w:rPr>
                <w:rFonts w:hint="eastAsia" w:ascii="宋体" w:hAnsi="宋体" w:cs="宋体"/>
                <w:b/>
                <w:bCs/>
              </w:rPr>
              <w:t xml:space="preserve"> </w:t>
            </w:r>
            <w:r>
              <w:rPr>
                <w:rFonts w:hint="eastAsia" w:ascii="宋体" w:hAnsi="宋体" w:cs="宋体"/>
                <w:b/>
              </w:rPr>
              <w:t>复印件或扫描件</w:t>
            </w:r>
            <w:r>
              <w:rPr>
                <w:rFonts w:hint="eastAsia" w:ascii="宋体" w:hAnsi="宋体" w:cs="宋体"/>
                <w:b/>
                <w:bCs/>
                <w:szCs w:val="21"/>
              </w:rPr>
              <w:t>）</w:t>
            </w:r>
          </w:p>
          <w:p>
            <w:pPr>
              <w:adjustRightInd w:val="0"/>
              <w:snapToGrid w:val="0"/>
              <w:spacing w:line="520" w:lineRule="exact"/>
              <w:ind w:firstLine="417" w:firstLineChars="198"/>
              <w:rPr>
                <w:rFonts w:ascii="宋体" w:hAnsi="宋体"/>
                <w:b/>
                <w:bCs/>
              </w:rPr>
            </w:pPr>
            <w:r>
              <w:rPr>
                <w:rFonts w:ascii="宋体" w:hAnsi="宋体" w:cs="宋体"/>
                <w:b/>
                <w:bCs/>
              </w:rPr>
              <w:t>3.</w:t>
            </w:r>
            <w:r>
              <w:rPr>
                <w:rFonts w:ascii="宋体" w:hAnsi="宋体"/>
                <w:b/>
                <w:szCs w:val="21"/>
              </w:rPr>
              <w:t xml:space="preserve"> 投标截止日投标资格情况</w:t>
            </w:r>
          </w:p>
          <w:p>
            <w:pPr>
              <w:snapToGrid w:val="0"/>
              <w:spacing w:line="520" w:lineRule="exact"/>
              <w:ind w:firstLine="422" w:firstLineChars="200"/>
              <w:rPr>
                <w:rFonts w:ascii="宋体" w:hAnsi="宋体"/>
                <w:b/>
                <w:szCs w:val="21"/>
              </w:rPr>
            </w:pPr>
            <w:r>
              <w:rPr>
                <w:rFonts w:ascii="宋体" w:hAnsi="宋体"/>
                <w:b/>
                <w:szCs w:val="21"/>
              </w:rPr>
              <w:t>竞标人自行承诺（格式自拟）不得存在下列情形之一：</w:t>
            </w:r>
          </w:p>
          <w:p>
            <w:pPr>
              <w:snapToGrid w:val="0"/>
              <w:spacing w:line="400" w:lineRule="exact"/>
              <w:ind w:firstLine="420" w:firstLineChars="200"/>
              <w:jc w:val="left"/>
              <w:rPr>
                <w:rFonts w:ascii="宋体" w:hAnsi="宋体"/>
                <w:szCs w:val="21"/>
              </w:rPr>
            </w:pPr>
            <w:r>
              <w:rPr>
                <w:rFonts w:hint="eastAsia" w:ascii="宋体" w:hAnsi="宋体"/>
                <w:szCs w:val="21"/>
              </w:rPr>
              <w:t>（1）被最高人民法院在“信用中国”网站（</w:t>
            </w:r>
            <w:r>
              <w:fldChar w:fldCharType="begin"/>
            </w:r>
            <w:r>
              <w:instrText xml:space="preserve"> HYPERLINK "http://www.creditchina.gov.cn" </w:instrText>
            </w:r>
            <w:r>
              <w:fldChar w:fldCharType="separate"/>
            </w:r>
            <w:r>
              <w:rPr>
                <w:rStyle w:val="56"/>
                <w:rFonts w:hint="eastAsia" w:ascii="宋体" w:hAnsi="宋体"/>
                <w:color w:val="auto"/>
                <w:szCs w:val="21"/>
              </w:rPr>
              <w:t>www.creditchina.gov.cn</w:t>
            </w:r>
            <w:r>
              <w:rPr>
                <w:rStyle w:val="56"/>
                <w:rFonts w:hint="eastAsia" w:ascii="宋体" w:hAnsi="宋体"/>
                <w:color w:val="auto"/>
                <w:szCs w:val="21"/>
              </w:rPr>
              <w:fldChar w:fldCharType="end"/>
            </w:r>
            <w:r>
              <w:rPr>
                <w:rFonts w:hint="eastAsia" w:ascii="宋体" w:hAnsi="宋体"/>
                <w:szCs w:val="21"/>
              </w:rPr>
              <w:t>）列入失信被执行人名单；</w:t>
            </w:r>
          </w:p>
          <w:p>
            <w:pPr>
              <w:snapToGrid w:val="0"/>
              <w:spacing w:line="4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w:t>
            </w:r>
          </w:p>
          <w:p>
            <w:pPr>
              <w:snapToGrid w:val="0"/>
              <w:spacing w:line="400" w:lineRule="exact"/>
              <w:ind w:firstLine="420" w:firstLineChars="200"/>
              <w:rPr>
                <w:rFonts w:ascii="宋体" w:hAnsi="宋体"/>
                <w:szCs w:val="21"/>
              </w:rPr>
            </w:pPr>
            <w:r>
              <w:rPr>
                <w:rFonts w:hint="eastAsia" w:ascii="宋体" w:hAnsi="宋体"/>
                <w:szCs w:val="21"/>
              </w:rPr>
              <w:t>（3）被列入《重庆市工程建设领域招标投标信用管理暂行办法》规定的黑名单；</w:t>
            </w:r>
          </w:p>
          <w:p>
            <w:pPr>
              <w:snapToGrid w:val="0"/>
              <w:spacing w:line="4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szCs w:val="21"/>
              </w:rPr>
            </w:pPr>
            <w:r>
              <w:rPr>
                <w:rFonts w:hint="eastAsia" w:ascii="宋体" w:hAnsi="宋体"/>
                <w:szCs w:val="21"/>
              </w:rPr>
              <w:t>（5）被重庆市住房和城乡建设主管部门暂停在渝承揽新业务。</w:t>
            </w:r>
          </w:p>
          <w:p>
            <w:pPr>
              <w:adjustRightInd w:val="0"/>
              <w:snapToGrid w:val="0"/>
              <w:spacing w:line="520" w:lineRule="exact"/>
              <w:ind w:firstLine="417" w:firstLineChars="198"/>
              <w:rPr>
                <w:rFonts w:ascii="宋体" w:hAnsi="宋体"/>
                <w:b/>
                <w:bCs/>
              </w:rPr>
            </w:pPr>
            <w:r>
              <w:rPr>
                <w:rFonts w:ascii="宋体" w:hAnsi="宋体" w:cs="宋体"/>
                <w:b/>
                <w:bCs/>
              </w:rPr>
              <w:t>4.</w:t>
            </w:r>
            <w:r>
              <w:rPr>
                <w:rFonts w:hint="eastAsia" w:ascii="宋体" w:hAnsi="宋体" w:cs="宋体"/>
                <w:b/>
                <w:bCs/>
              </w:rPr>
              <w:t>项目经理资格要求</w:t>
            </w:r>
          </w:p>
          <w:p>
            <w:pPr>
              <w:snapToGrid w:val="0"/>
              <w:spacing w:line="520" w:lineRule="exact"/>
              <w:ind w:firstLine="420" w:firstLineChars="200"/>
              <w:rPr>
                <w:rFonts w:ascii="宋体" w:hAnsi="宋体"/>
                <w:szCs w:val="21"/>
              </w:rPr>
            </w:pPr>
            <w:r>
              <w:rPr>
                <w:rFonts w:hint="eastAsia" w:ascii="宋体" w:hAnsi="宋体"/>
                <w:szCs w:val="21"/>
              </w:rPr>
              <w:t>（1）</w:t>
            </w:r>
            <w:r>
              <w:rPr>
                <w:rFonts w:ascii="宋体" w:hAnsi="宋体"/>
                <w:szCs w:val="21"/>
              </w:rPr>
              <w:t>竞标人拟派的项目经理必须已在竞标人本单位注册并应具有</w:t>
            </w:r>
            <w:r>
              <w:rPr>
                <w:rFonts w:hint="eastAsia" w:ascii="宋体" w:hAnsi="宋体"/>
                <w:b/>
                <w:szCs w:val="21"/>
              </w:rPr>
              <w:t>市政公用工程专业二级</w:t>
            </w:r>
            <w:r>
              <w:rPr>
                <w:rFonts w:hint="eastAsia" w:ascii="宋体" w:hAnsi="宋体"/>
                <w:szCs w:val="21"/>
              </w:rPr>
              <w:t>及以上注册建造师执业资格</w:t>
            </w:r>
            <w:r>
              <w:rPr>
                <w:rFonts w:ascii="宋体" w:hAnsi="宋体"/>
                <w:szCs w:val="21"/>
              </w:rPr>
              <w:t>，应为竞标人本单位人员，并做出项目经理到岗履职的承诺（自行承诺拟派项目经理中标后只能在本项目任职，签订合同时拟派的项目经理必须与竞标文件中的项目经理一致，并满足办理施工许可手续的相关要求。不能按承诺到岗履约的，按合同相关条款处罚并上报行政主管部门，给比选人造成损失的，竞标人依法承担违约赔偿责任）和未被禁标的承诺（自行承诺拟派项目经理未被我市住房和城乡建设主管部门暂停在渝承揽新业务，若被暂停且参加</w:t>
            </w:r>
            <w:r>
              <w:rPr>
                <w:rFonts w:hint="eastAsia" w:ascii="宋体" w:hAnsi="宋体"/>
                <w:szCs w:val="21"/>
              </w:rPr>
              <w:t>竞标</w:t>
            </w:r>
            <w:r>
              <w:rPr>
                <w:rFonts w:ascii="宋体" w:hAnsi="宋体"/>
                <w:szCs w:val="21"/>
              </w:rPr>
              <w:t>的</w:t>
            </w:r>
            <w:r>
              <w:rPr>
                <w:rFonts w:hint="eastAsia" w:ascii="宋体" w:hAnsi="宋体"/>
                <w:szCs w:val="21"/>
              </w:rPr>
              <w:t>竞标</w:t>
            </w:r>
            <w:r>
              <w:rPr>
                <w:rFonts w:ascii="宋体" w:hAnsi="宋体"/>
                <w:szCs w:val="21"/>
              </w:rPr>
              <w:t>将被否决，给比选人造成损失的，竞标人依法承担违约赔偿责任），否则由评标委员会作否决</w:t>
            </w:r>
            <w:r>
              <w:rPr>
                <w:rFonts w:hint="eastAsia" w:ascii="宋体" w:hAnsi="宋体"/>
                <w:szCs w:val="21"/>
              </w:rPr>
              <w:t>竞标</w:t>
            </w:r>
            <w:r>
              <w:rPr>
                <w:rFonts w:ascii="宋体" w:hAnsi="宋体"/>
                <w:szCs w:val="21"/>
              </w:rPr>
              <w:t>处理。拟派项目经理中标后不得随意更换。</w:t>
            </w:r>
          </w:p>
          <w:p>
            <w:pPr>
              <w:autoSpaceDE w:val="0"/>
              <w:autoSpaceDN w:val="0"/>
              <w:adjustRightInd w:val="0"/>
              <w:snapToGrid w:val="0"/>
              <w:spacing w:line="520" w:lineRule="exact"/>
              <w:ind w:firstLine="417" w:firstLineChars="198"/>
              <w:rPr>
                <w:rFonts w:ascii="宋体" w:hAnsi="宋体"/>
                <w:b/>
                <w:szCs w:val="21"/>
              </w:rPr>
            </w:pPr>
            <w:r>
              <w:rPr>
                <w:rFonts w:hint="eastAsia" w:ascii="宋体" w:hAnsi="宋体"/>
                <w:b/>
                <w:kern w:val="0"/>
                <w:szCs w:val="21"/>
              </w:rPr>
              <w:t>（</w:t>
            </w:r>
            <w:r>
              <w:rPr>
                <w:rFonts w:ascii="宋体" w:hAnsi="宋体"/>
                <w:b/>
                <w:kern w:val="0"/>
                <w:szCs w:val="21"/>
              </w:rPr>
              <w:t>提供拟派项目经理建造师注册证、身份证、竞标人本单位为其缴纳的</w:t>
            </w:r>
            <w:r>
              <w:rPr>
                <w:rFonts w:hint="eastAsia" w:ascii="宋体" w:hAnsi="宋体"/>
                <w:b/>
                <w:kern w:val="0"/>
                <w:szCs w:val="21"/>
              </w:rPr>
              <w:t>20</w:t>
            </w:r>
            <w:r>
              <w:rPr>
                <w:rFonts w:ascii="宋体" w:hAnsi="宋体"/>
                <w:b/>
                <w:kern w:val="0"/>
                <w:szCs w:val="21"/>
              </w:rPr>
              <w:t>20</w:t>
            </w:r>
            <w:r>
              <w:rPr>
                <w:rFonts w:hint="eastAsia" w:ascii="宋体" w:hAnsi="宋体"/>
                <w:b/>
                <w:kern w:val="0"/>
                <w:szCs w:val="21"/>
              </w:rPr>
              <w:t>年7月至2020年12月</w:t>
            </w:r>
            <w:r>
              <w:rPr>
                <w:rFonts w:ascii="宋体" w:hAnsi="宋体"/>
                <w:b/>
                <w:kern w:val="0"/>
                <w:szCs w:val="21"/>
              </w:rPr>
              <w:t>养老保险证明材料，拟派项目经理到岗履职和未被禁标的承诺原件。</w:t>
            </w:r>
            <w:r>
              <w:rPr>
                <w:rFonts w:hint="eastAsia" w:ascii="宋体" w:hAnsi="宋体"/>
                <w:b/>
                <w:kern w:val="0"/>
                <w:szCs w:val="21"/>
              </w:rPr>
              <w:t>)</w:t>
            </w:r>
          </w:p>
          <w:p>
            <w:pPr>
              <w:autoSpaceDE w:val="0"/>
              <w:autoSpaceDN w:val="0"/>
              <w:adjustRightInd w:val="0"/>
              <w:snapToGrid w:val="0"/>
              <w:spacing w:line="520" w:lineRule="exact"/>
              <w:ind w:firstLine="413" w:firstLineChars="196"/>
              <w:jc w:val="left"/>
              <w:rPr>
                <w:rFonts w:ascii="宋体" w:hAnsi="宋体" w:cs="宋体"/>
                <w:b/>
                <w:bCs/>
              </w:rPr>
            </w:pPr>
            <w:r>
              <w:rPr>
                <w:rFonts w:ascii="宋体" w:hAnsi="宋体" w:cs="宋体"/>
                <w:b/>
                <w:bCs/>
              </w:rPr>
              <w:t>5.</w:t>
            </w:r>
            <w:r>
              <w:rPr>
                <w:rFonts w:hint="eastAsia" w:ascii="宋体" w:hAnsi="宋体" w:cs="宋体"/>
                <w:b/>
                <w:bCs/>
              </w:rPr>
              <w:t>其他要求</w:t>
            </w:r>
          </w:p>
          <w:p>
            <w:pPr>
              <w:snapToGrid w:val="0"/>
              <w:spacing w:line="520" w:lineRule="exact"/>
              <w:ind w:firstLine="420" w:firstLineChars="200"/>
              <w:rPr>
                <w:rFonts w:ascii="宋体" w:hAnsi="宋体"/>
                <w:b/>
                <w:szCs w:val="21"/>
              </w:rPr>
            </w:pPr>
            <w:r>
              <w:rPr>
                <w:rFonts w:ascii="宋体" w:hAnsi="宋体"/>
                <w:kern w:val="0"/>
                <w:szCs w:val="21"/>
              </w:rPr>
              <w:t>（1）</w:t>
            </w:r>
            <w:r>
              <w:rPr>
                <w:rFonts w:ascii="宋体" w:hAnsi="宋体"/>
                <w:szCs w:val="21"/>
              </w:rPr>
              <w:t>主要管理人员：</w:t>
            </w:r>
          </w:p>
          <w:p>
            <w:pPr>
              <w:snapToGrid w:val="0"/>
              <w:spacing w:line="520" w:lineRule="exact"/>
              <w:ind w:firstLine="420" w:firstLineChars="200"/>
              <w:rPr>
                <w:rFonts w:ascii="宋体" w:hAnsi="宋体"/>
                <w:szCs w:val="21"/>
              </w:rPr>
            </w:pPr>
            <w:r>
              <w:rPr>
                <w:rFonts w:ascii="宋体" w:hAnsi="宋体"/>
                <w:szCs w:val="21"/>
              </w:rPr>
              <w:t>竞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本单位为其缴纳的养老保险证明材料。中标后不能满足该要求的，取消其中标资格，给比选人造成损失的，竞标人依法承担违约赔偿责任。竞标人须在竞标文件资格审查部分附承诺函（格式自拟）。</w:t>
            </w:r>
          </w:p>
          <w:p>
            <w:pPr>
              <w:autoSpaceDE w:val="0"/>
              <w:autoSpaceDN w:val="0"/>
              <w:adjustRightInd w:val="0"/>
              <w:snapToGrid w:val="0"/>
              <w:spacing w:line="520" w:lineRule="exact"/>
              <w:ind w:firstLine="420" w:firstLineChars="200"/>
              <w:rPr>
                <w:rFonts w:ascii="宋体" w:hAnsi="宋体"/>
                <w:kern w:val="0"/>
                <w:szCs w:val="21"/>
              </w:rPr>
            </w:pPr>
            <w:r>
              <w:rPr>
                <w:rFonts w:ascii="宋体" w:hAnsi="宋体"/>
                <w:kern w:val="0"/>
                <w:szCs w:val="21"/>
              </w:rPr>
              <w:t>（</w:t>
            </w:r>
            <w:r>
              <w:rPr>
                <w:rFonts w:hint="eastAsia" w:ascii="宋体" w:hAnsi="宋体"/>
                <w:kern w:val="0"/>
                <w:szCs w:val="21"/>
              </w:rPr>
              <w:t>2</w:t>
            </w:r>
            <w:r>
              <w:rPr>
                <w:rFonts w:ascii="宋体" w:hAnsi="宋体"/>
                <w:kern w:val="0"/>
                <w:szCs w:val="21"/>
              </w:rPr>
              <w:t>）委托代理人：</w:t>
            </w:r>
          </w:p>
          <w:p>
            <w:pPr>
              <w:autoSpaceDE w:val="0"/>
              <w:autoSpaceDN w:val="0"/>
              <w:adjustRightInd w:val="0"/>
              <w:snapToGrid w:val="0"/>
              <w:spacing w:line="520" w:lineRule="exact"/>
              <w:ind w:firstLine="420" w:firstLineChars="200"/>
              <w:rPr>
                <w:rFonts w:ascii="宋体" w:hAnsi="宋体"/>
                <w:kern w:val="0"/>
                <w:szCs w:val="21"/>
              </w:rPr>
            </w:pPr>
            <w:r>
              <w:rPr>
                <w:rFonts w:ascii="宋体" w:hAnsi="宋体"/>
                <w:kern w:val="0"/>
                <w:szCs w:val="21"/>
              </w:rPr>
              <w:t>本项目委托代理人必须为竞标人本单位职工。</w:t>
            </w:r>
            <w:r>
              <w:rPr>
                <w:rFonts w:ascii="宋体" w:hAnsi="宋体"/>
                <w:b/>
                <w:kern w:val="0"/>
                <w:szCs w:val="21"/>
              </w:rPr>
              <w:t>竞标人须在竞标文件资格审查部分提供竞标人本单位为该委托代理人缴纳的</w:t>
            </w:r>
            <w:r>
              <w:rPr>
                <w:rFonts w:hint="eastAsia" w:ascii="宋体" w:hAnsi="宋体"/>
                <w:b/>
                <w:kern w:val="0"/>
                <w:szCs w:val="21"/>
              </w:rPr>
              <w:t>20</w:t>
            </w:r>
            <w:r>
              <w:rPr>
                <w:rFonts w:ascii="宋体" w:hAnsi="宋体"/>
                <w:b/>
                <w:kern w:val="0"/>
                <w:szCs w:val="21"/>
              </w:rPr>
              <w:t>20</w:t>
            </w:r>
            <w:r>
              <w:rPr>
                <w:rFonts w:hint="eastAsia" w:ascii="宋体" w:hAnsi="宋体"/>
                <w:b/>
                <w:kern w:val="0"/>
                <w:szCs w:val="21"/>
              </w:rPr>
              <w:t>年7月至2020年12月</w:t>
            </w:r>
            <w:r>
              <w:rPr>
                <w:rFonts w:ascii="宋体" w:hAnsi="宋体"/>
                <w:b/>
                <w:kern w:val="0"/>
                <w:szCs w:val="21"/>
              </w:rPr>
              <w:t>养老保险证明复印件</w:t>
            </w:r>
            <w:r>
              <w:rPr>
                <w:rFonts w:hint="eastAsia" w:ascii="宋体" w:hAnsi="宋体"/>
                <w:b/>
                <w:kern w:val="0"/>
                <w:szCs w:val="21"/>
              </w:rPr>
              <w:t>或</w:t>
            </w:r>
            <w:r>
              <w:rPr>
                <w:rFonts w:ascii="宋体" w:hAnsi="宋体"/>
                <w:b/>
                <w:kern w:val="0"/>
                <w:szCs w:val="21"/>
              </w:rPr>
              <w:t>扫</w:t>
            </w:r>
            <w:r>
              <w:rPr>
                <w:rFonts w:hint="eastAsia" w:ascii="宋体" w:hAnsi="宋体"/>
                <w:b/>
                <w:kern w:val="0"/>
                <w:szCs w:val="21"/>
              </w:rPr>
              <w:t>描</w:t>
            </w:r>
            <w:r>
              <w:rPr>
                <w:rFonts w:ascii="宋体" w:hAnsi="宋体"/>
                <w:b/>
                <w:kern w:val="0"/>
                <w:szCs w:val="21"/>
              </w:rPr>
              <w:t>件</w:t>
            </w:r>
            <w:r>
              <w:rPr>
                <w:rFonts w:ascii="宋体" w:hAnsi="宋体"/>
                <w:kern w:val="0"/>
                <w:szCs w:val="21"/>
              </w:rPr>
              <w:t>。</w:t>
            </w:r>
            <w:r>
              <w:rPr>
                <w:rFonts w:hint="eastAsia" w:ascii="宋体" w:hAnsi="宋体"/>
                <w:kern w:val="0"/>
                <w:szCs w:val="21"/>
              </w:rPr>
              <w:t xml:space="preserve"> </w:t>
            </w:r>
          </w:p>
          <w:p>
            <w:pPr>
              <w:spacing w:line="520" w:lineRule="exact"/>
              <w:ind w:firstLine="413" w:firstLineChars="196"/>
              <w:rPr>
                <w:rFonts w:ascii="宋体" w:hAnsi="宋体" w:cs="宋体"/>
                <w:b/>
                <w:kern w:val="0"/>
              </w:rPr>
            </w:pPr>
            <w:r>
              <w:rPr>
                <w:rFonts w:hint="eastAsia" w:ascii="宋体" w:hAnsi="宋体" w:cs="宋体"/>
                <w:b/>
              </w:rPr>
              <w:t>注：1.以上所有资料复印件或扫描件、截图必须加盖竞标人单位公章，</w:t>
            </w:r>
            <w:r>
              <w:rPr>
                <w:rFonts w:hint="eastAsia" w:ascii="宋体" w:hAnsi="宋体" w:cs="宋体"/>
                <w:b/>
                <w:kern w:val="0"/>
              </w:rPr>
              <w:t>以上所有复印件或扫描件的原件资料（</w:t>
            </w:r>
            <w:r>
              <w:rPr>
                <w:rFonts w:hint="eastAsia" w:ascii="宋体" w:hAnsi="宋体" w:cs="宋体"/>
                <w:b/>
                <w:bCs/>
                <w:szCs w:val="21"/>
              </w:rPr>
              <w:t>除信誉声明、承诺书、身份</w:t>
            </w:r>
            <w:r>
              <w:rPr>
                <w:rFonts w:ascii="宋体" w:hAnsi="宋体" w:cs="宋体"/>
                <w:b/>
                <w:bCs/>
                <w:szCs w:val="21"/>
              </w:rPr>
              <w:t>证、</w:t>
            </w:r>
            <w:r>
              <w:rPr>
                <w:rFonts w:hint="eastAsia" w:ascii="宋体" w:hAnsi="宋体" w:cs="宋体"/>
                <w:b/>
                <w:bCs/>
                <w:szCs w:val="21"/>
              </w:rPr>
              <w:t>资质证书、截图外</w:t>
            </w:r>
            <w:r>
              <w:rPr>
                <w:rFonts w:hint="eastAsia" w:ascii="宋体" w:hAnsi="宋体" w:cs="宋体"/>
                <w:b/>
                <w:kern w:val="0"/>
              </w:rPr>
              <w:t>）在递交竞标文件时提交给比选代理机构（</w:t>
            </w:r>
            <w:r>
              <w:rPr>
                <w:rFonts w:hint="eastAsia" w:ascii="宋体" w:hAnsi="宋体" w:cs="宋体"/>
                <w:b/>
                <w:bCs/>
                <w:kern w:val="0"/>
              </w:rPr>
              <w:t>一次性提交，提交后将不再补交，审后退还</w:t>
            </w:r>
            <w:r>
              <w:rPr>
                <w:rFonts w:hint="eastAsia" w:ascii="宋体" w:hAnsi="宋体" w:cs="宋体"/>
                <w:b/>
                <w:kern w:val="0"/>
              </w:rPr>
              <w:t>），转由评标委员会查验。在评标过程中，如原件不全或与竞标文件不符，则其竞标文件按否决竞标处理。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1.4.2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是否接受联合体竞标</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1.9.1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踏勘现场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1.10.1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竞标预备会</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是否允许</w:t>
            </w:r>
          </w:p>
          <w:p>
            <w:pPr>
              <w:spacing w:line="420" w:lineRule="exact"/>
              <w:jc w:val="center"/>
              <w:rPr>
                <w:rFonts w:ascii="宋体" w:hAnsi="宋体" w:cs="宋体"/>
                <w:szCs w:val="21"/>
              </w:rPr>
            </w:pPr>
            <w:r>
              <w:rPr>
                <w:rFonts w:hint="eastAsia" w:ascii="宋体" w:hAnsi="宋体" w:cs="宋体"/>
                <w:szCs w:val="21"/>
              </w:rPr>
              <w:t>分包</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本项目不允许分包、转包。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构成比选文件的其他材料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比选文件需修改或根据竞标人提出的问题进行修改、澄清或答疑，比选人将以书面通知的方式发出补遗通知。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2.2.1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竞标人质疑比选文件的截止时间</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rPr>
              <w:t>竞标人在收到比选文件后，应仔细检查比选文件的所有内容，如有残缺或文字表述不清以及存在错、碰、漏、缺、概念模糊和有可能出现歧义或理解上的偏差的内容等应在</w:t>
            </w:r>
            <w:r>
              <w:rPr>
                <w:rFonts w:hint="eastAsia" w:ascii="宋体" w:hAnsi="宋体" w:cs="宋体"/>
                <w:szCs w:val="21"/>
                <w:u w:val="single"/>
              </w:rPr>
              <w:t>2021年 2 月3日17时30分</w:t>
            </w:r>
            <w:r>
              <w:rPr>
                <w:rFonts w:hint="eastAsia" w:ascii="宋体" w:hAnsi="宋体" w:cs="宋体"/>
              </w:rPr>
              <w:t>前向比选人或比选代理机构提交书面质疑。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2.2.2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比选人对比选文件答疑的截止时间</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rPr>
            </w:pPr>
            <w:r>
              <w:rPr>
                <w:rFonts w:hint="eastAsia" w:ascii="宋体" w:hAnsi="宋体" w:cs="宋体"/>
                <w:szCs w:val="21"/>
                <w:u w:val="single"/>
              </w:rPr>
              <w:t>2021年2月4日17时30分</w:t>
            </w:r>
            <w:r>
              <w:rPr>
                <w:rFonts w:hint="eastAsia" w:ascii="宋体" w:hAnsi="宋体" w:cs="宋体"/>
              </w:rPr>
              <w:t>（北京时间）前，向所有潜在竞标人发布答疑。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ascii="宋体" w:hAnsi="宋体" w:cs="宋体"/>
                <w:szCs w:val="21"/>
              </w:rPr>
            </w:pPr>
            <w:r>
              <w:rPr>
                <w:rFonts w:hint="eastAsia" w:ascii="宋体" w:hAnsi="宋体" w:cs="宋体"/>
                <w:szCs w:val="21"/>
              </w:rPr>
              <w:t>竞标文件的组成和内容必须实质性响应比选文件的要求，否则将被拒绝。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竞标文件的构成</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竞标文件由竞标函部分、商务部分、资格审查部分组成，格式须使用比选文件第八章中提供的“竞标文件格式”（未给出格式的部分，请各竞标人自拟）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Cs w:val="21"/>
              </w:rPr>
            </w:pPr>
            <w:r>
              <w:rPr>
                <w:rFonts w:hint="eastAsia" w:ascii="宋体" w:hAnsi="宋体" w:cs="宋体"/>
                <w:szCs w:val="21"/>
              </w:rPr>
              <w:t>3.1（1）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构成竞标文件的其他材料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rPr>
            </w:pPr>
            <w:r>
              <w:rPr>
                <w:rFonts w:hint="eastAsia" w:ascii="宋体" w:hAnsi="宋体" w:cs="宋体"/>
                <w:szCs w:val="21"/>
              </w:rPr>
              <w:t>比选文件规定的和竞标人认为应该提供的所有材料（但不得改变竞标文件的实质性内容）。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竞标报价</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20" w:firstLineChars="200"/>
              <w:rPr>
                <w:rFonts w:ascii="宋体" w:hAnsi="宋体"/>
                <w:kern w:val="0"/>
                <w:szCs w:val="21"/>
              </w:rPr>
            </w:pPr>
            <w:r>
              <w:rPr>
                <w:rFonts w:hint="eastAsia" w:ascii="宋体" w:hAnsi="宋体"/>
                <w:kern w:val="0"/>
                <w:szCs w:val="21"/>
              </w:rPr>
              <w:t>1.竞标人应按本须知和第五章“工程量清单”的要求填写相应清单表格。竞标人的竞标报价应是本章竞标人须知前附表1.3.1项中所述的本工程合同段招标范围内的全部工程的竞标报价，并以竞标人在工程量清单中提出的单价或总价为依据。竞标函中总报价与已标价工程量清单总报价必须一致，</w:t>
            </w:r>
            <w:r>
              <w:rPr>
                <w:rFonts w:hint="eastAsia" w:ascii="宋体" w:hAnsi="宋体"/>
                <w:b/>
                <w:bCs/>
                <w:kern w:val="0"/>
                <w:szCs w:val="21"/>
              </w:rPr>
              <w:t>否则其竞标文件按</w:t>
            </w:r>
            <w:r>
              <w:rPr>
                <w:rFonts w:hint="eastAsia" w:ascii="宋体" w:hAnsi="宋体" w:cs="宋体"/>
                <w:b/>
                <w:kern w:val="0"/>
              </w:rPr>
              <w:t>否决竞标</w:t>
            </w:r>
            <w:r>
              <w:rPr>
                <w:rFonts w:hint="eastAsia" w:ascii="宋体" w:hAnsi="宋体"/>
                <w:b/>
                <w:bCs/>
                <w:kern w:val="0"/>
                <w:szCs w:val="21"/>
              </w:rPr>
              <w:t>处理</w:t>
            </w:r>
            <w:r>
              <w:rPr>
                <w:rFonts w:hint="eastAsia" w:ascii="宋体" w:hAnsi="宋体"/>
                <w:kern w:val="0"/>
                <w:szCs w:val="21"/>
              </w:rPr>
              <w:t>。</w:t>
            </w:r>
          </w:p>
          <w:p>
            <w:pPr>
              <w:snapToGrid w:val="0"/>
              <w:spacing w:line="440" w:lineRule="exact"/>
              <w:ind w:firstLine="420" w:firstLineChars="200"/>
              <w:rPr>
                <w:rFonts w:ascii="宋体" w:hAnsi="宋体"/>
                <w:kern w:val="0"/>
                <w:szCs w:val="21"/>
              </w:rPr>
            </w:pPr>
            <w:r>
              <w:rPr>
                <w:rFonts w:hint="eastAsia" w:ascii="宋体" w:hAnsi="宋体"/>
                <w:kern w:val="0"/>
                <w:szCs w:val="21"/>
              </w:rPr>
              <w:t>2.竞标人应认真填写工程量清单中所列的本项目各工程子目的单价或总价。竞标人没有填入单价或总价的工程子目，比选人将认为该子目的价款已包括在工程量清单其他子目的单价和总价中。竞标人在工程量清单中多报的子目和单价或总价比选人将不予接受，并将被视为重大偏差，</w:t>
            </w:r>
            <w:r>
              <w:rPr>
                <w:rFonts w:hint="eastAsia" w:ascii="宋体" w:hAnsi="宋体"/>
                <w:b/>
                <w:bCs/>
                <w:kern w:val="0"/>
                <w:szCs w:val="21"/>
              </w:rPr>
              <w:t>按</w:t>
            </w:r>
            <w:r>
              <w:rPr>
                <w:rFonts w:hint="eastAsia" w:ascii="宋体" w:hAnsi="宋体" w:cs="宋体"/>
                <w:b/>
                <w:kern w:val="0"/>
              </w:rPr>
              <w:t>否决竞标</w:t>
            </w:r>
            <w:r>
              <w:rPr>
                <w:rFonts w:hint="eastAsia" w:ascii="宋体" w:hAnsi="宋体"/>
                <w:b/>
                <w:bCs/>
                <w:kern w:val="0"/>
                <w:szCs w:val="21"/>
              </w:rPr>
              <w:t>处理</w:t>
            </w:r>
            <w:r>
              <w:rPr>
                <w:rFonts w:hint="eastAsia" w:ascii="宋体" w:hAnsi="宋体"/>
                <w:kern w:val="0"/>
                <w:szCs w:val="21"/>
              </w:rPr>
              <w:t>。</w:t>
            </w:r>
          </w:p>
          <w:p>
            <w:pPr>
              <w:snapToGrid w:val="0"/>
              <w:spacing w:line="440" w:lineRule="exact"/>
              <w:ind w:firstLine="420" w:firstLineChars="200"/>
              <w:rPr>
                <w:rFonts w:ascii="宋体" w:hAnsi="宋体"/>
                <w:kern w:val="0"/>
                <w:szCs w:val="21"/>
              </w:rPr>
            </w:pPr>
            <w:r>
              <w:rPr>
                <w:rFonts w:hint="eastAsia" w:ascii="宋体" w:hAnsi="宋体"/>
                <w:kern w:val="0"/>
                <w:szCs w:val="21"/>
              </w:rPr>
              <w:t>3.如发现工程量清单中的数量与图纸中数量不一致，应于本须知2.2.1项中规定的时间前书面通知比选人核查，除非比选人以补遗书的形式予以更正，否则，应以工程量清单中列出的数量为准。</w:t>
            </w:r>
          </w:p>
          <w:p>
            <w:pPr>
              <w:snapToGrid w:val="0"/>
              <w:spacing w:line="440" w:lineRule="exact"/>
              <w:ind w:firstLine="420" w:firstLineChars="200"/>
              <w:rPr>
                <w:rFonts w:ascii="宋体" w:hAnsi="宋体"/>
                <w:kern w:val="0"/>
                <w:szCs w:val="21"/>
              </w:rPr>
            </w:pPr>
            <w:r>
              <w:rPr>
                <w:rFonts w:hint="eastAsia" w:ascii="宋体" w:hAnsi="宋体"/>
                <w:kern w:val="0"/>
                <w:szCs w:val="21"/>
              </w:rPr>
              <w:t>4.比选人在工程量清单中所列出的价格（包括暂列金额、暂估价等），竞标人不得修改。否则，</w:t>
            </w:r>
            <w:r>
              <w:rPr>
                <w:rFonts w:hint="eastAsia" w:ascii="宋体" w:hAnsi="宋体"/>
                <w:b/>
                <w:bCs/>
                <w:kern w:val="0"/>
                <w:szCs w:val="21"/>
              </w:rPr>
              <w:t>按</w:t>
            </w:r>
            <w:r>
              <w:rPr>
                <w:rFonts w:hint="eastAsia" w:ascii="宋体" w:hAnsi="宋体" w:cs="宋体"/>
                <w:b/>
                <w:kern w:val="0"/>
                <w:szCs w:val="21"/>
              </w:rPr>
              <w:t>否决竞标处理</w:t>
            </w:r>
            <w:r>
              <w:rPr>
                <w:rFonts w:hint="eastAsia" w:ascii="宋体" w:hAnsi="宋体"/>
                <w:kern w:val="0"/>
                <w:szCs w:val="21"/>
              </w:rPr>
              <w:t>。</w:t>
            </w:r>
          </w:p>
          <w:p>
            <w:pPr>
              <w:snapToGrid w:val="0"/>
              <w:spacing w:line="440" w:lineRule="exact"/>
              <w:ind w:firstLine="420" w:firstLineChars="200"/>
              <w:rPr>
                <w:rFonts w:ascii="宋体" w:hAnsi="宋体"/>
                <w:b/>
                <w:kern w:val="0"/>
                <w:szCs w:val="21"/>
              </w:rPr>
            </w:pPr>
            <w:r>
              <w:rPr>
                <w:rFonts w:hint="eastAsia" w:ascii="宋体" w:hAnsi="宋体"/>
                <w:kern w:val="0"/>
                <w:szCs w:val="21"/>
              </w:rPr>
              <w:t xml:space="preserve">5. </w:t>
            </w:r>
            <w:r>
              <w:rPr>
                <w:rFonts w:hint="eastAsia" w:ascii="宋体" w:hAnsi="宋体"/>
                <w:b/>
                <w:bCs/>
                <w:kern w:val="0"/>
                <w:szCs w:val="21"/>
              </w:rPr>
              <w:t>本工程比选将设置竞标总价最高限价（含安全文明施工费用暂定金额）、分部分项工程量清单项目综合单价最高限价</w:t>
            </w:r>
            <w:r>
              <w:rPr>
                <w:rFonts w:hint="eastAsia" w:ascii="宋体" w:hAnsi="宋体"/>
                <w:kern w:val="0"/>
                <w:szCs w:val="21"/>
              </w:rPr>
              <w:t>、</w:t>
            </w:r>
            <w:r>
              <w:rPr>
                <w:rFonts w:hint="eastAsia" w:ascii="宋体" w:hAnsi="宋体"/>
                <w:b/>
                <w:bCs/>
                <w:kern w:val="0"/>
                <w:szCs w:val="21"/>
              </w:rPr>
              <w:t>措施费总价最高限价及全费用综合包干单价最高限价</w:t>
            </w:r>
            <w:r>
              <w:rPr>
                <w:rFonts w:hint="eastAsia" w:ascii="宋体" w:hAnsi="宋体"/>
                <w:b/>
                <w:kern w:val="0"/>
                <w:szCs w:val="21"/>
              </w:rPr>
              <w:t>。</w:t>
            </w:r>
          </w:p>
          <w:p>
            <w:pPr>
              <w:snapToGrid w:val="0"/>
              <w:spacing w:line="440" w:lineRule="exact"/>
              <w:ind w:firstLine="422" w:firstLineChars="200"/>
              <w:rPr>
                <w:rFonts w:ascii="宋体" w:hAnsi="宋体"/>
                <w:kern w:val="0"/>
                <w:szCs w:val="21"/>
              </w:rPr>
            </w:pPr>
            <w:r>
              <w:rPr>
                <w:rFonts w:hint="eastAsia" w:ascii="宋体" w:hAnsi="宋体"/>
                <w:b/>
                <w:bCs/>
                <w:kern w:val="0"/>
                <w:szCs w:val="21"/>
              </w:rPr>
              <w:t>本工程竞标总价最高限价为</w:t>
            </w:r>
            <w:r>
              <w:rPr>
                <w:rFonts w:ascii="宋体" w:hAnsi="宋体"/>
                <w:b/>
                <w:bCs/>
                <w:szCs w:val="21"/>
                <w:u w:val="single"/>
              </w:rPr>
              <w:t>2534345.63</w:t>
            </w:r>
            <w:r>
              <w:rPr>
                <w:rFonts w:hint="eastAsia" w:ascii="宋体" w:hAnsi="宋体"/>
                <w:b/>
                <w:bCs/>
                <w:kern w:val="0"/>
                <w:szCs w:val="21"/>
                <w:u w:val="single"/>
              </w:rPr>
              <w:t>元（大写：贰佰伍拾叁万肆仟叁佰肆拾伍元陆角叁分）（含安全文明施工费用暂定金额为</w:t>
            </w:r>
            <w:r>
              <w:rPr>
                <w:rFonts w:ascii="宋体" w:hAnsi="宋体"/>
                <w:b/>
                <w:bCs/>
                <w:szCs w:val="21"/>
                <w:u w:val="single"/>
              </w:rPr>
              <w:t>55037.19</w:t>
            </w:r>
            <w:r>
              <w:rPr>
                <w:rFonts w:hint="eastAsia" w:ascii="宋体" w:hAnsi="宋体"/>
                <w:b/>
                <w:bCs/>
                <w:szCs w:val="21"/>
                <w:u w:val="single"/>
              </w:rPr>
              <w:t>元</w:t>
            </w:r>
            <w:r>
              <w:rPr>
                <w:rFonts w:hint="eastAsia" w:ascii="宋体" w:hAnsi="宋体"/>
                <w:b/>
                <w:bCs/>
                <w:kern w:val="0"/>
                <w:szCs w:val="21"/>
                <w:u w:val="single"/>
              </w:rPr>
              <w:t>），其中，措施费总价最高限价为</w:t>
            </w:r>
            <w:r>
              <w:rPr>
                <w:rFonts w:ascii="宋体" w:hAnsi="宋体"/>
                <w:b/>
                <w:bCs/>
                <w:kern w:val="0"/>
                <w:szCs w:val="21"/>
                <w:u w:val="single"/>
              </w:rPr>
              <w:t>125669.52元</w:t>
            </w:r>
            <w:r>
              <w:rPr>
                <w:rFonts w:hint="eastAsia" w:ascii="宋体" w:hAnsi="宋体"/>
                <w:b/>
                <w:bCs/>
                <w:kern w:val="0"/>
                <w:szCs w:val="21"/>
                <w:u w:val="single"/>
              </w:rPr>
              <w:t>。</w:t>
            </w:r>
            <w:r>
              <w:rPr>
                <w:rFonts w:hint="eastAsia" w:ascii="宋体" w:hAnsi="宋体"/>
                <w:b/>
                <w:kern w:val="0"/>
                <w:szCs w:val="21"/>
              </w:rPr>
              <w:t>竞标人的竞标报价不得超过最高限价，否则，</w:t>
            </w:r>
            <w:r>
              <w:rPr>
                <w:rFonts w:hint="eastAsia" w:ascii="宋体" w:hAnsi="宋体"/>
                <w:b/>
                <w:bCs/>
                <w:kern w:val="0"/>
                <w:szCs w:val="21"/>
              </w:rPr>
              <w:t>其竞标文件按</w:t>
            </w:r>
            <w:r>
              <w:rPr>
                <w:rFonts w:hint="eastAsia" w:ascii="宋体" w:hAnsi="宋体" w:cs="宋体"/>
                <w:b/>
                <w:kern w:val="0"/>
                <w:szCs w:val="21"/>
              </w:rPr>
              <w:t>否决竞标</w:t>
            </w:r>
            <w:r>
              <w:rPr>
                <w:rFonts w:hint="eastAsia" w:ascii="宋体" w:hAnsi="宋体"/>
                <w:b/>
                <w:bCs/>
                <w:kern w:val="0"/>
                <w:szCs w:val="21"/>
              </w:rPr>
              <w:t>处理</w:t>
            </w:r>
            <w:r>
              <w:rPr>
                <w:rFonts w:hint="eastAsia" w:ascii="宋体" w:hAnsi="宋体"/>
                <w:b/>
                <w:kern w:val="0"/>
                <w:szCs w:val="21"/>
              </w:rPr>
              <w:t>。</w:t>
            </w:r>
          </w:p>
          <w:p>
            <w:pPr>
              <w:snapToGrid w:val="0"/>
              <w:spacing w:line="440" w:lineRule="exact"/>
              <w:ind w:firstLine="420" w:firstLineChars="200"/>
              <w:rPr>
                <w:rFonts w:ascii="宋体" w:hAnsi="宋体"/>
                <w:kern w:val="0"/>
                <w:szCs w:val="21"/>
              </w:rPr>
            </w:pPr>
            <w:r>
              <w:rPr>
                <w:rFonts w:hint="eastAsia" w:ascii="宋体" w:hAnsi="宋体"/>
                <w:kern w:val="0"/>
                <w:szCs w:val="21"/>
              </w:rPr>
              <w:t>6、其他说明</w:t>
            </w:r>
          </w:p>
          <w:p>
            <w:pPr>
              <w:snapToGrid w:val="0"/>
              <w:spacing w:line="440" w:lineRule="exact"/>
              <w:ind w:firstLine="420" w:firstLineChars="200"/>
              <w:rPr>
                <w:rFonts w:ascii="宋体" w:hAnsi="宋体"/>
                <w:kern w:val="0"/>
                <w:szCs w:val="21"/>
              </w:rPr>
            </w:pPr>
            <w:r>
              <w:rPr>
                <w:rFonts w:hint="eastAsia" w:ascii="宋体" w:hAnsi="宋体"/>
                <w:kern w:val="0"/>
                <w:szCs w:val="21"/>
              </w:rPr>
              <w:t>6.1 工程计价方式：本工程采用工程量清单计价。</w:t>
            </w:r>
          </w:p>
          <w:p>
            <w:pPr>
              <w:snapToGrid w:val="0"/>
              <w:spacing w:line="440" w:lineRule="exact"/>
              <w:ind w:firstLine="420" w:firstLineChars="200"/>
              <w:rPr>
                <w:rFonts w:ascii="宋体" w:hAnsi="宋体"/>
                <w:kern w:val="0"/>
                <w:szCs w:val="21"/>
              </w:rPr>
            </w:pPr>
            <w:r>
              <w:rPr>
                <w:rFonts w:hint="eastAsia" w:ascii="宋体" w:hAnsi="宋体"/>
                <w:kern w:val="0"/>
                <w:szCs w:val="21"/>
              </w:rPr>
              <w:t>6.2 竞标报价范围：各竞标人按照招标范围的规定，对比选人提供的工程量清单，结合项目实际情况，比选文件中施工图、技术标准和要求及其他内容进行自主报价。</w:t>
            </w:r>
          </w:p>
          <w:p>
            <w:pPr>
              <w:snapToGrid w:val="0"/>
              <w:spacing w:line="440" w:lineRule="exact"/>
              <w:ind w:firstLine="420" w:firstLineChars="200"/>
              <w:rPr>
                <w:rFonts w:ascii="宋体" w:hAnsi="宋体"/>
                <w:kern w:val="0"/>
                <w:szCs w:val="21"/>
              </w:rPr>
            </w:pPr>
            <w:r>
              <w:rPr>
                <w:rFonts w:hint="eastAsia" w:ascii="宋体" w:hAnsi="宋体"/>
                <w:kern w:val="0"/>
                <w:szCs w:val="21"/>
              </w:rPr>
              <w:t>6.3 报价原则</w:t>
            </w:r>
          </w:p>
          <w:p>
            <w:pPr>
              <w:snapToGrid w:val="0"/>
              <w:spacing w:line="440" w:lineRule="exact"/>
              <w:ind w:firstLine="420" w:firstLineChars="200"/>
              <w:rPr>
                <w:rFonts w:ascii="宋体" w:hAnsi="宋体"/>
                <w:kern w:val="0"/>
                <w:szCs w:val="21"/>
              </w:rPr>
            </w:pPr>
            <w:r>
              <w:rPr>
                <w:rFonts w:hint="eastAsia" w:ascii="宋体" w:hAnsi="宋体"/>
                <w:kern w:val="0"/>
                <w:szCs w:val="21"/>
              </w:rPr>
              <w:t>6.3.1总体要求</w:t>
            </w:r>
          </w:p>
          <w:p>
            <w:pPr>
              <w:snapToGrid w:val="0"/>
              <w:spacing w:line="440" w:lineRule="exact"/>
              <w:ind w:firstLine="420" w:firstLineChars="200"/>
              <w:rPr>
                <w:rFonts w:ascii="宋体" w:hAnsi="宋体"/>
                <w:kern w:val="0"/>
                <w:szCs w:val="21"/>
              </w:rPr>
            </w:pPr>
            <w:r>
              <w:rPr>
                <w:rFonts w:hint="eastAsia" w:ascii="宋体" w:hAnsi="宋体"/>
                <w:kern w:val="0"/>
                <w:szCs w:val="21"/>
              </w:rPr>
              <w:t>6.3.1.1竞标人应根据比选文件及其补充通知、答疑纪要，地勘资料、施工现场情况、工程特点，与比选文件实质性要求相匹配的施工技术方案，企业定额，国家及地方有关现行的政策、标准及规范等，结合自身实力、市场行情自主合理报价。竞标报价应包括按照比选文件要求完成招标范围内工程内容的人工费、材料费、施工机具使用费、企业管理费、利润、风险费用、措施费、规费、税金、政策性文件规定的所有费用。</w:t>
            </w:r>
          </w:p>
          <w:p>
            <w:pPr>
              <w:snapToGrid w:val="0"/>
              <w:spacing w:line="440" w:lineRule="exact"/>
              <w:ind w:firstLine="420" w:firstLineChars="200"/>
              <w:rPr>
                <w:rFonts w:ascii="宋体" w:hAnsi="宋体"/>
                <w:kern w:val="0"/>
                <w:szCs w:val="21"/>
              </w:rPr>
            </w:pPr>
            <w:r>
              <w:rPr>
                <w:rFonts w:hint="eastAsia" w:ascii="宋体" w:hAnsi="宋体"/>
                <w:kern w:val="0"/>
                <w:szCs w:val="21"/>
              </w:rPr>
              <w:t>6.3.1.2竞标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pPr>
              <w:snapToGrid w:val="0"/>
              <w:spacing w:line="440" w:lineRule="exact"/>
              <w:ind w:firstLine="420" w:firstLineChars="200"/>
              <w:rPr>
                <w:rFonts w:ascii="宋体" w:hAnsi="宋体"/>
                <w:kern w:val="0"/>
                <w:szCs w:val="21"/>
              </w:rPr>
            </w:pPr>
            <w:r>
              <w:rPr>
                <w:rFonts w:hint="eastAsia" w:ascii="宋体" w:hAnsi="宋体"/>
                <w:kern w:val="0"/>
                <w:szCs w:val="21"/>
              </w:rPr>
              <w:t>6.3.1.3比选文件第四章合同条款及格式（专用合同条款）中约定由竞标人承担的费用，竞标时竞标人必须考虑此费用，综合考虑在竞标总价中，中标后比选人不再另行支付。</w:t>
            </w:r>
          </w:p>
          <w:p>
            <w:pPr>
              <w:snapToGrid w:val="0"/>
              <w:spacing w:line="440" w:lineRule="exact"/>
              <w:ind w:firstLine="420" w:firstLineChars="200"/>
              <w:rPr>
                <w:rFonts w:ascii="宋体" w:hAnsi="宋体"/>
                <w:kern w:val="0"/>
                <w:szCs w:val="21"/>
              </w:rPr>
            </w:pPr>
            <w:r>
              <w:rPr>
                <w:rFonts w:hint="eastAsia" w:ascii="宋体" w:hAnsi="宋体"/>
                <w:kern w:val="0"/>
                <w:szCs w:val="21"/>
              </w:rPr>
              <w:t>6.3.1.4按政策和合同约定的由中标人交纳的各种保险费由中标人自行投保，保险费由中标人承担并支付，并根据企业自身和本工程情况，综合考虑在竞标总价中。</w:t>
            </w:r>
          </w:p>
          <w:p>
            <w:pPr>
              <w:snapToGrid w:val="0"/>
              <w:spacing w:line="440" w:lineRule="exact"/>
              <w:ind w:firstLine="420" w:firstLineChars="200"/>
              <w:rPr>
                <w:rFonts w:ascii="宋体" w:hAnsi="宋体"/>
                <w:kern w:val="0"/>
                <w:szCs w:val="21"/>
              </w:rPr>
            </w:pPr>
            <w:r>
              <w:rPr>
                <w:rFonts w:hint="eastAsia" w:ascii="宋体" w:hAnsi="宋体"/>
                <w:kern w:val="0"/>
                <w:szCs w:val="21"/>
              </w:rPr>
              <w:t>6.3.1.5为了不受市网停电影响延误工期，竞标人应自行预备柴油发电机组，自备发电机的功率应与工程需用电力负荷相适应，确保施工期间能正常使用。比选人指定水、电接口，接口范围在施工红线范围外1公里内，竞标人自行从指定接口接入水电管，接入费用及相关用水用电等费用由竞标人承担，综合考虑在竞标总价中。中标后，该费用不另行支付（请竞标人务必到工地现场查勘并了解接口位置，自行测算距离及相关费用）。</w:t>
            </w:r>
          </w:p>
          <w:p>
            <w:pPr>
              <w:snapToGrid w:val="0"/>
              <w:spacing w:line="440" w:lineRule="exact"/>
              <w:ind w:firstLine="420" w:firstLineChars="200"/>
              <w:rPr>
                <w:rFonts w:ascii="宋体" w:hAnsi="宋体"/>
                <w:kern w:val="0"/>
                <w:szCs w:val="21"/>
              </w:rPr>
            </w:pPr>
            <w:r>
              <w:rPr>
                <w:rFonts w:hint="eastAsia" w:ascii="宋体" w:hAnsi="宋体"/>
                <w:kern w:val="0"/>
                <w:szCs w:val="21"/>
              </w:rPr>
              <w:t>6.3.1.6每一项目只允许有一个报价。任何有选择的报价将不予接受。</w:t>
            </w:r>
          </w:p>
          <w:p>
            <w:pPr>
              <w:snapToGrid w:val="0"/>
              <w:spacing w:line="440" w:lineRule="exact"/>
              <w:ind w:firstLine="420" w:firstLineChars="200"/>
              <w:rPr>
                <w:rFonts w:ascii="宋体" w:hAnsi="宋体"/>
                <w:kern w:val="0"/>
                <w:szCs w:val="21"/>
              </w:rPr>
            </w:pPr>
            <w:r>
              <w:rPr>
                <w:rFonts w:hint="eastAsia" w:ascii="宋体" w:hAnsi="宋体"/>
                <w:kern w:val="0"/>
                <w:szCs w:val="21"/>
              </w:rPr>
              <w:t>6.3.1.7竞标报价各单位工程中项目名称、项目特征及工程内容相同的分部分项工程量清单项，为同一专业工程的其综合单价必须相同，否则结算时按就低原则处理。</w:t>
            </w:r>
          </w:p>
          <w:p>
            <w:pPr>
              <w:snapToGrid w:val="0"/>
              <w:spacing w:line="440" w:lineRule="exact"/>
              <w:ind w:firstLine="420" w:firstLineChars="200"/>
              <w:rPr>
                <w:rFonts w:ascii="宋体" w:hAnsi="宋体"/>
                <w:b/>
                <w:bCs/>
                <w:kern w:val="0"/>
                <w:szCs w:val="21"/>
              </w:rPr>
            </w:pPr>
            <w:r>
              <w:rPr>
                <w:rFonts w:hint="eastAsia" w:ascii="宋体" w:hAnsi="宋体"/>
                <w:kern w:val="0"/>
                <w:szCs w:val="21"/>
              </w:rPr>
              <w:t>6.3.1.8竞标人应根据比选文件中的工程量清单，并按重庆市建设工程费用定额（CQFYDE-2018）的要求填报竞标总价（封面）、建设项目竞标报价汇总表、单项工程竞标报价汇总表、单位工程竞标报价汇总表、分部分项工程项目清单计价表、措施项目汇总表、施工技术措施项目清单计价表、施工组织措施项目清单计价表、其他项目清单计价汇总表、暂列金额明细表、材料（工程设备）暂估单价及调整表、专业工程暂估价及结算价表、分部分项工程和施工技术措施项目清单综合单价分析表</w:t>
            </w:r>
            <w:r>
              <w:rPr>
                <w:rFonts w:hint="eastAsia" w:ascii="宋体" w:hAnsi="宋体"/>
                <w:b/>
                <w:kern w:val="0"/>
                <w:szCs w:val="21"/>
              </w:rPr>
              <w:t>（综合单价分析表可以不提供纸质版）</w:t>
            </w:r>
            <w:r>
              <w:rPr>
                <w:rFonts w:hint="eastAsia" w:ascii="宋体" w:hAnsi="宋体"/>
                <w:kern w:val="0"/>
                <w:szCs w:val="21"/>
              </w:rPr>
              <w:t>、规费、税金项目计价表等，其他表格竞标人自行选用。竞标函的竞标总报价必须与所附工程量清单报价表所报金额一致，竞标人不得采用总价百分比优惠（下浮）的方式进行竞标报价，其优惠应直接体现在各项竞标报价的单价中，</w:t>
            </w:r>
            <w:r>
              <w:rPr>
                <w:rFonts w:hint="eastAsia" w:ascii="宋体" w:hAnsi="宋体"/>
                <w:b/>
                <w:bCs/>
                <w:kern w:val="0"/>
                <w:szCs w:val="21"/>
              </w:rPr>
              <w:t>否则视为对比选文件不响应，其竞标文件按</w:t>
            </w:r>
            <w:r>
              <w:rPr>
                <w:rFonts w:hint="eastAsia" w:ascii="宋体" w:hAnsi="宋体" w:cs="宋体"/>
                <w:b/>
                <w:kern w:val="0"/>
              </w:rPr>
              <w:t>否决竞标</w:t>
            </w:r>
            <w:r>
              <w:rPr>
                <w:rFonts w:hint="eastAsia" w:ascii="宋体" w:hAnsi="宋体"/>
                <w:b/>
                <w:bCs/>
                <w:kern w:val="0"/>
                <w:szCs w:val="21"/>
              </w:rPr>
              <w:t>处理。</w:t>
            </w:r>
          </w:p>
          <w:p>
            <w:pPr>
              <w:snapToGrid w:val="0"/>
              <w:spacing w:line="440" w:lineRule="exact"/>
              <w:ind w:firstLine="422" w:firstLineChars="200"/>
              <w:rPr>
                <w:rFonts w:ascii="宋体" w:hAnsi="宋体"/>
                <w:b/>
                <w:kern w:val="0"/>
                <w:szCs w:val="21"/>
              </w:rPr>
            </w:pPr>
            <w:r>
              <w:rPr>
                <w:rFonts w:hint="eastAsia" w:ascii="宋体" w:hAnsi="宋体"/>
                <w:b/>
                <w:kern w:val="0"/>
                <w:szCs w:val="21"/>
              </w:rPr>
              <w:t>（开标结束后中标单位必须在7个工作日内向比选人提供与竞标时电子光盘内容一致的预算文件软件组价版。）</w:t>
            </w:r>
          </w:p>
          <w:p>
            <w:pPr>
              <w:snapToGrid w:val="0"/>
              <w:spacing w:line="440" w:lineRule="exact"/>
              <w:ind w:firstLine="420" w:firstLineChars="200"/>
              <w:rPr>
                <w:rFonts w:ascii="宋体" w:hAnsi="宋体"/>
                <w:kern w:val="0"/>
                <w:szCs w:val="21"/>
              </w:rPr>
            </w:pPr>
            <w:r>
              <w:rPr>
                <w:rFonts w:hint="eastAsia" w:ascii="宋体" w:hAnsi="宋体"/>
                <w:kern w:val="0"/>
                <w:szCs w:val="21"/>
              </w:rPr>
              <w:t>6.3.1.9企业管理费应由竞标人在保证不低于其成本的基础上做竞争性考虑，利润由竞标人根据自身情况和综合实力做竞争性考虑。企业管理费、利润费率报价表中的费率应与分部分项清单综合单价分析表中费率保持一致。</w:t>
            </w:r>
          </w:p>
          <w:p>
            <w:pPr>
              <w:snapToGrid w:val="0"/>
              <w:spacing w:line="440" w:lineRule="exact"/>
              <w:ind w:firstLine="420" w:firstLineChars="200"/>
              <w:rPr>
                <w:rFonts w:ascii="宋体" w:hAnsi="宋体"/>
                <w:kern w:val="0"/>
                <w:szCs w:val="21"/>
              </w:rPr>
            </w:pPr>
            <w:r>
              <w:rPr>
                <w:rFonts w:hint="eastAsia" w:ascii="宋体" w:hAnsi="宋体"/>
                <w:kern w:val="0"/>
                <w:szCs w:val="21"/>
              </w:rPr>
              <w:t>6.3.1.10在收到施工图纸后，竞标人有义务根据</w:t>
            </w:r>
            <w:r>
              <w:rPr>
                <w:rFonts w:ascii="宋体" w:hAnsi="宋体" w:cs="宋体"/>
                <w:kern w:val="0"/>
                <w:szCs w:val="21"/>
              </w:rPr>
              <w:t>《建设工程工程量清单计价规范》（GB50500-2013）、《重庆市建设工程工程量清单计价规则》（CQJJGZ-2013）、《重庆市建设工程工程量计算规则》（CQJLGZ-2013）</w:t>
            </w:r>
            <w:r>
              <w:rPr>
                <w:rFonts w:hint="eastAsia" w:ascii="宋体" w:hAnsi="宋体" w:cs="宋体"/>
                <w:kern w:val="0"/>
                <w:szCs w:val="21"/>
              </w:rPr>
              <w:t>、《重庆市房屋建筑与装饰工程计价定额》CQJZZSDE-2018、《重庆市仿古建筑工程计价定额》CQFGDE-2018、《重庆市通用安装工程计价定额》CQAZDE-2018、《重庆市市政工程计价定额》 CQSZDE</w:t>
            </w:r>
            <w:r>
              <w:rPr>
                <w:rFonts w:ascii="宋体" w:hAnsi="宋体" w:cs="宋体"/>
                <w:kern w:val="0"/>
                <w:szCs w:val="21"/>
              </w:rPr>
              <w:t>-</w:t>
            </w:r>
            <w:r>
              <w:rPr>
                <w:rFonts w:hint="eastAsia" w:ascii="宋体" w:hAnsi="宋体" w:cs="宋体"/>
                <w:kern w:val="0"/>
                <w:szCs w:val="21"/>
              </w:rPr>
              <w:t>2018、《重庆市园林绿化工程计价定额》CQYLLHDE</w:t>
            </w:r>
            <w:r>
              <w:rPr>
                <w:rFonts w:ascii="宋体" w:hAnsi="宋体" w:cs="宋体"/>
                <w:kern w:val="0"/>
                <w:szCs w:val="21"/>
              </w:rPr>
              <w:t>-</w:t>
            </w:r>
            <w:r>
              <w:rPr>
                <w:rFonts w:hint="eastAsia" w:ascii="宋体" w:hAnsi="宋体" w:cs="宋体"/>
                <w:kern w:val="0"/>
                <w:szCs w:val="21"/>
              </w:rPr>
              <w:t>2018、《重庆市构筑物工程计价定额》 CQGZWDE-2018、《重庆市城市轨道交通工程计价定额》CQGDDE-2018、《重庆市爆破工程计价定额》CQBPDE-2018、《重庆市房屋修缮工程计价定额》CQXSDE</w:t>
            </w:r>
            <w:r>
              <w:rPr>
                <w:rFonts w:ascii="宋体" w:hAnsi="宋体" w:cs="宋体"/>
                <w:kern w:val="0"/>
                <w:szCs w:val="21"/>
              </w:rPr>
              <w:t>-</w:t>
            </w:r>
            <w:r>
              <w:rPr>
                <w:rFonts w:hint="eastAsia" w:ascii="宋体" w:hAnsi="宋体" w:cs="宋体"/>
                <w:kern w:val="0"/>
                <w:szCs w:val="21"/>
              </w:rPr>
              <w:t>2018、《重庆市绿色建筑工程计价定额》 CQLSJZDE</w:t>
            </w:r>
            <w:r>
              <w:rPr>
                <w:rFonts w:ascii="宋体" w:hAnsi="宋体" w:cs="宋体"/>
                <w:kern w:val="0"/>
                <w:szCs w:val="21"/>
              </w:rPr>
              <w:t>-</w:t>
            </w:r>
            <w:r>
              <w:rPr>
                <w:rFonts w:hint="eastAsia" w:ascii="宋体" w:hAnsi="宋体" w:cs="宋体"/>
                <w:kern w:val="0"/>
                <w:szCs w:val="21"/>
              </w:rPr>
              <w:t>201</w:t>
            </w:r>
            <w:r>
              <w:rPr>
                <w:rFonts w:ascii="宋体" w:hAnsi="宋体" w:cs="宋体"/>
                <w:kern w:val="0"/>
                <w:szCs w:val="21"/>
              </w:rPr>
              <w:t>8</w:t>
            </w:r>
            <w:r>
              <w:rPr>
                <w:rFonts w:hint="eastAsia" w:ascii="宋体" w:hAnsi="宋体" w:cs="宋体"/>
                <w:kern w:val="0"/>
                <w:szCs w:val="21"/>
              </w:rPr>
              <w:t>、《重庆市建设工程</w:t>
            </w:r>
            <w:r>
              <w:rPr>
                <w:rFonts w:ascii="宋体" w:hAnsi="宋体" w:cs="宋体"/>
                <w:kern w:val="0"/>
                <w:szCs w:val="21"/>
              </w:rPr>
              <w:t>费用定额</w:t>
            </w:r>
            <w:r>
              <w:rPr>
                <w:rFonts w:hint="eastAsia" w:ascii="宋体" w:hAnsi="宋体" w:cs="宋体"/>
                <w:kern w:val="0"/>
                <w:szCs w:val="21"/>
              </w:rPr>
              <w:t>》 CQ</w:t>
            </w:r>
            <w:r>
              <w:rPr>
                <w:rFonts w:ascii="宋体" w:hAnsi="宋体" w:cs="宋体"/>
                <w:kern w:val="0"/>
                <w:szCs w:val="21"/>
              </w:rPr>
              <w:t>FYDE-</w:t>
            </w:r>
            <w:r>
              <w:rPr>
                <w:rFonts w:hint="eastAsia" w:ascii="宋体" w:hAnsi="宋体" w:cs="宋体"/>
                <w:kern w:val="0"/>
                <w:szCs w:val="21"/>
              </w:rPr>
              <w:t>2018、《重庆市建设工程施工机械台班定额》CQJXDE</w:t>
            </w:r>
            <w:r>
              <w:rPr>
                <w:rFonts w:ascii="宋体" w:hAnsi="宋体" w:cs="宋体"/>
                <w:kern w:val="0"/>
                <w:szCs w:val="21"/>
              </w:rPr>
              <w:t>-</w:t>
            </w:r>
            <w:r>
              <w:rPr>
                <w:rFonts w:hint="eastAsia" w:ascii="宋体" w:hAnsi="宋体" w:cs="宋体"/>
                <w:kern w:val="0"/>
                <w:szCs w:val="21"/>
              </w:rPr>
              <w:t>2018、《重庆市建设工程施工仪器仪表台班定额》CQYQYBDE-2018、《重庆市建设工程混凝土及砂浆配合比表》CQPHBB-2018</w:t>
            </w:r>
            <w:r>
              <w:rPr>
                <w:rFonts w:hint="eastAsia" w:ascii="宋体" w:hAnsi="宋体"/>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2018】69号）等定额及相关配套文件计算工程量，核查招标提供的工程量是否与施工图一致、漏项及缺项，并在规定的时间内书面通知比选人进行核查，除比选人对清单工程量主动补遗或对竞标人质疑作修改外，竞标人在编制竞标报价时不得擅自改变比选人提供的分部分项工程量清单中的序号、排列顺序、项目编码、项目名称、项目特征、工程内容、工程量及计量单位，</w:t>
            </w:r>
            <w:r>
              <w:rPr>
                <w:rFonts w:hint="eastAsia" w:ascii="宋体" w:hAnsi="宋体"/>
                <w:b/>
                <w:bCs/>
                <w:kern w:val="0"/>
                <w:szCs w:val="21"/>
              </w:rPr>
              <w:t>否则视为对比选文件不作实质性响应，其竞标文件按</w:t>
            </w:r>
            <w:r>
              <w:rPr>
                <w:rFonts w:hint="eastAsia" w:ascii="宋体" w:hAnsi="宋体" w:cs="宋体"/>
                <w:b/>
                <w:kern w:val="0"/>
              </w:rPr>
              <w:t>否决竞标</w:t>
            </w:r>
            <w:r>
              <w:rPr>
                <w:rFonts w:hint="eastAsia" w:ascii="宋体" w:hAnsi="宋体"/>
                <w:b/>
                <w:bCs/>
                <w:kern w:val="0"/>
                <w:szCs w:val="21"/>
              </w:rPr>
              <w:t>处理</w:t>
            </w:r>
            <w:r>
              <w:rPr>
                <w:rFonts w:hint="eastAsia" w:ascii="宋体" w:hAnsi="宋体"/>
                <w:kern w:val="0"/>
                <w:szCs w:val="21"/>
              </w:rPr>
              <w:t>。</w:t>
            </w:r>
          </w:p>
          <w:p>
            <w:pPr>
              <w:snapToGrid w:val="0"/>
              <w:spacing w:line="440" w:lineRule="exact"/>
              <w:ind w:firstLine="420" w:firstLineChars="200"/>
              <w:rPr>
                <w:rFonts w:ascii="宋体" w:hAnsi="宋体"/>
                <w:kern w:val="0"/>
                <w:szCs w:val="21"/>
              </w:rPr>
            </w:pPr>
            <w:r>
              <w:rPr>
                <w:rFonts w:hint="eastAsia" w:ascii="宋体" w:hAnsi="宋体"/>
                <w:kern w:val="0"/>
                <w:szCs w:val="21"/>
              </w:rPr>
              <w:t>6.3.1.11竞标人只有严格按比选人提供的《工程量清单》和本比选文件中提供的《工程量清单报价表》格式内所有项目进行报价，并且必须列出每项分部分项工程量清单项目综合单价分析表才能视为总体报价完整（竞标文件纸质版可不提供每项分部分项工程量清单项目综合单价分析表，但电子版必须包含该部分内容），不得出现删除项目或增项（措施费项目除外），</w:t>
            </w:r>
            <w:r>
              <w:rPr>
                <w:rFonts w:hint="eastAsia" w:ascii="宋体" w:hAnsi="宋体"/>
                <w:b/>
                <w:bCs/>
                <w:kern w:val="0"/>
                <w:szCs w:val="21"/>
              </w:rPr>
              <w:t>否则视为对比选文件不作实质性响应，其竞标文件按</w:t>
            </w:r>
            <w:r>
              <w:rPr>
                <w:rFonts w:hint="eastAsia" w:ascii="宋体" w:hAnsi="宋体" w:cs="宋体"/>
                <w:b/>
                <w:kern w:val="0"/>
              </w:rPr>
              <w:t>否决竞标</w:t>
            </w:r>
            <w:r>
              <w:rPr>
                <w:rFonts w:hint="eastAsia" w:ascii="宋体" w:hAnsi="宋体"/>
                <w:b/>
                <w:bCs/>
                <w:kern w:val="0"/>
                <w:szCs w:val="21"/>
              </w:rPr>
              <w:t>处理</w:t>
            </w:r>
            <w:r>
              <w:rPr>
                <w:rFonts w:hint="eastAsia" w:ascii="宋体" w:hAnsi="宋体"/>
                <w:kern w:val="0"/>
                <w:szCs w:val="21"/>
              </w:rPr>
              <w:t>。报价空白或报价为零，则视为该子项的价款已包括在工程量清单其他子目的单价和合价中，中标后必须完成该子项工作内容，比选人不对该子项进行结算与支付。施工过程中，因比选人原因需要对报价空白或报价为零的项目减少实施工程量或不予实施，比选人将按竞标报价时计价原则计算出该项的综合单价以及相应的规费、措施费和税金，并据此从结算价中扣除。</w:t>
            </w:r>
          </w:p>
          <w:p>
            <w:pPr>
              <w:snapToGrid w:val="0"/>
              <w:spacing w:line="440" w:lineRule="exact"/>
              <w:ind w:firstLine="420" w:firstLineChars="200"/>
              <w:rPr>
                <w:rFonts w:ascii="宋体" w:hAnsi="宋体"/>
                <w:kern w:val="0"/>
                <w:szCs w:val="21"/>
              </w:rPr>
            </w:pPr>
            <w:r>
              <w:rPr>
                <w:rFonts w:hint="eastAsia" w:ascii="宋体" w:hAnsi="宋体"/>
                <w:kern w:val="0"/>
                <w:szCs w:val="21"/>
              </w:rPr>
              <w:t>6.3.2分部分项工程量清单报价要求</w:t>
            </w:r>
          </w:p>
          <w:p>
            <w:pPr>
              <w:snapToGrid w:val="0"/>
              <w:spacing w:line="440" w:lineRule="exact"/>
              <w:ind w:firstLine="420" w:firstLineChars="200"/>
              <w:rPr>
                <w:rFonts w:ascii="宋体" w:hAnsi="宋体"/>
                <w:kern w:val="0"/>
                <w:szCs w:val="21"/>
              </w:rPr>
            </w:pPr>
            <w:r>
              <w:rPr>
                <w:rFonts w:hint="eastAsia" w:ascii="宋体" w:hAnsi="宋体"/>
                <w:kern w:val="0"/>
                <w:szCs w:val="21"/>
              </w:rPr>
              <w:t>6.3.2.1本工程采用工程量清单计价。各竞标人对招标范围内的所有工程内容进行报价。本招标工程由竞标人以比选文件、合同条件、工程量清单、本次招标范围的施工设计图纸、地勘报告、国家技术和经济规范及标准</w:t>
            </w:r>
            <w:r>
              <w:rPr>
                <w:rFonts w:ascii="宋体" w:hAnsi="宋体" w:cs="宋体"/>
                <w:kern w:val="0"/>
                <w:szCs w:val="21"/>
              </w:rPr>
              <w:t>《建设工程工程量清单计价规范》（GB50500-2013）、《重庆市建设工程工程量清单计价规则》（CQJJGZ-2013）、《重庆市建设工程工程量计算规则》（CQJLGZ-2013）</w:t>
            </w:r>
            <w:r>
              <w:rPr>
                <w:rFonts w:hint="eastAsia" w:ascii="宋体" w:hAnsi="宋体" w:cs="宋体"/>
                <w:kern w:val="0"/>
                <w:szCs w:val="21"/>
              </w:rPr>
              <w:t>、《重庆市房屋建筑与装饰工程计价定额》CQJZZSDE-2018、《重庆市仿古建筑工程计价定额》CQFGDE-2018、《重庆市通用安装工程计价定额》CQAZDE-2018、《重庆市市政工程计价定额》 CQSZDE</w:t>
            </w:r>
            <w:r>
              <w:rPr>
                <w:rFonts w:ascii="宋体" w:hAnsi="宋体" w:cs="宋体"/>
                <w:kern w:val="0"/>
                <w:szCs w:val="21"/>
              </w:rPr>
              <w:t>-</w:t>
            </w:r>
            <w:r>
              <w:rPr>
                <w:rFonts w:hint="eastAsia" w:ascii="宋体" w:hAnsi="宋体" w:cs="宋体"/>
                <w:kern w:val="0"/>
                <w:szCs w:val="21"/>
              </w:rPr>
              <w:t>2018、《重庆市园林绿化工程计价定额》CQYLLHDE</w:t>
            </w:r>
            <w:r>
              <w:rPr>
                <w:rFonts w:ascii="宋体" w:hAnsi="宋体" w:cs="宋体"/>
                <w:kern w:val="0"/>
                <w:szCs w:val="21"/>
              </w:rPr>
              <w:t>-</w:t>
            </w:r>
            <w:r>
              <w:rPr>
                <w:rFonts w:hint="eastAsia" w:ascii="宋体" w:hAnsi="宋体" w:cs="宋体"/>
                <w:kern w:val="0"/>
                <w:szCs w:val="21"/>
              </w:rPr>
              <w:t>2018、《重庆市构筑物工程计价定额》 CQGZWDE-2018、《重庆市城市轨道交通工程计价定额》CQGDDE-2018、《重庆市爆破工程计价定额》CQBPDE-2018、《重庆市房屋修缮工程计价定额》CQXSDE</w:t>
            </w:r>
            <w:r>
              <w:rPr>
                <w:rFonts w:ascii="宋体" w:hAnsi="宋体" w:cs="宋体"/>
                <w:kern w:val="0"/>
                <w:szCs w:val="21"/>
              </w:rPr>
              <w:t>-</w:t>
            </w:r>
            <w:r>
              <w:rPr>
                <w:rFonts w:hint="eastAsia" w:ascii="宋体" w:hAnsi="宋体" w:cs="宋体"/>
                <w:kern w:val="0"/>
                <w:szCs w:val="21"/>
              </w:rPr>
              <w:t>2018、《重庆市绿色建筑工程计价定额》 CQLSJZDE</w:t>
            </w:r>
            <w:r>
              <w:rPr>
                <w:rFonts w:ascii="宋体" w:hAnsi="宋体" w:cs="宋体"/>
                <w:kern w:val="0"/>
                <w:szCs w:val="21"/>
              </w:rPr>
              <w:t>-</w:t>
            </w:r>
            <w:r>
              <w:rPr>
                <w:rFonts w:hint="eastAsia" w:ascii="宋体" w:hAnsi="宋体" w:cs="宋体"/>
                <w:kern w:val="0"/>
                <w:szCs w:val="21"/>
              </w:rPr>
              <w:t>201</w:t>
            </w:r>
            <w:r>
              <w:rPr>
                <w:rFonts w:ascii="宋体" w:hAnsi="宋体" w:cs="宋体"/>
                <w:kern w:val="0"/>
                <w:szCs w:val="21"/>
              </w:rPr>
              <w:t>8</w:t>
            </w:r>
            <w:r>
              <w:rPr>
                <w:rFonts w:hint="eastAsia" w:ascii="宋体" w:hAnsi="宋体" w:cs="宋体"/>
                <w:kern w:val="0"/>
                <w:szCs w:val="21"/>
              </w:rPr>
              <w:t>、《重庆市建设工程</w:t>
            </w:r>
            <w:r>
              <w:rPr>
                <w:rFonts w:ascii="宋体" w:hAnsi="宋体" w:cs="宋体"/>
                <w:kern w:val="0"/>
                <w:szCs w:val="21"/>
              </w:rPr>
              <w:t>费用定额</w:t>
            </w:r>
            <w:r>
              <w:rPr>
                <w:rFonts w:hint="eastAsia" w:ascii="宋体" w:hAnsi="宋体" w:cs="宋体"/>
                <w:kern w:val="0"/>
                <w:szCs w:val="21"/>
              </w:rPr>
              <w:t>》 CQ</w:t>
            </w:r>
            <w:r>
              <w:rPr>
                <w:rFonts w:ascii="宋体" w:hAnsi="宋体" w:cs="宋体"/>
                <w:kern w:val="0"/>
                <w:szCs w:val="21"/>
              </w:rPr>
              <w:t>FYDE-</w:t>
            </w:r>
            <w:r>
              <w:rPr>
                <w:rFonts w:hint="eastAsia" w:ascii="宋体" w:hAnsi="宋体" w:cs="宋体"/>
                <w:kern w:val="0"/>
                <w:szCs w:val="21"/>
              </w:rPr>
              <w:t>2018、《重庆市建设工程施工机械台班定额》CQJXDE</w:t>
            </w:r>
            <w:r>
              <w:rPr>
                <w:rFonts w:ascii="宋体" w:hAnsi="宋体" w:cs="宋体"/>
                <w:kern w:val="0"/>
                <w:szCs w:val="21"/>
              </w:rPr>
              <w:t>-</w:t>
            </w:r>
            <w:r>
              <w:rPr>
                <w:rFonts w:hint="eastAsia" w:ascii="宋体" w:hAnsi="宋体" w:cs="宋体"/>
                <w:kern w:val="0"/>
                <w:szCs w:val="21"/>
              </w:rPr>
              <w:t>2018、《重庆市建设工程施工仪器仪表台班定额》CQYQYBDE-2018、《重庆市建设工程混凝土及砂浆配合比表》CQPHBB-2018、</w:t>
            </w:r>
            <w:r>
              <w:rPr>
                <w:rFonts w:hint="eastAsia" w:ascii="宋体" w:hAnsi="宋体"/>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2018】69号）及相关配套文件为依据，由竞标人结合自身实力、市场行情自主合理报价。其综合单价应包括完成该子项所需的人工费、材料费、施工机具使用费、企业管理费、利润、风险费等除措施费、规费及税金外的所有费用。中标后比选人不再对综合单价进行调整。</w:t>
            </w:r>
          </w:p>
          <w:p>
            <w:pPr>
              <w:snapToGrid w:val="0"/>
              <w:spacing w:line="440" w:lineRule="exact"/>
              <w:ind w:firstLine="420" w:firstLineChars="200"/>
              <w:rPr>
                <w:rFonts w:ascii="宋体" w:hAnsi="宋体"/>
                <w:kern w:val="0"/>
                <w:szCs w:val="21"/>
              </w:rPr>
            </w:pPr>
            <w:r>
              <w:rPr>
                <w:rFonts w:hint="eastAsia" w:ascii="宋体" w:hAnsi="宋体"/>
                <w:kern w:val="0"/>
                <w:szCs w:val="21"/>
              </w:rPr>
              <w:t>清单中有部分注明采用“全费用综合单价”的子目，全费用综合单价项目应包括完成该子项所需的人工费、材料费、施工机具使用费、企业管理费、利润、风险费、措施项目费（含安全文明施工费）、规费、税金等所有费用。中标后比选人不再对综合单价进行调整。</w:t>
            </w:r>
          </w:p>
          <w:p>
            <w:pPr>
              <w:snapToGrid w:val="0"/>
              <w:spacing w:line="440" w:lineRule="exact"/>
              <w:ind w:firstLine="420" w:firstLineChars="200"/>
              <w:rPr>
                <w:rFonts w:ascii="宋体" w:hAnsi="宋体"/>
                <w:kern w:val="0"/>
                <w:szCs w:val="21"/>
              </w:rPr>
            </w:pPr>
            <w:r>
              <w:rPr>
                <w:rFonts w:hint="eastAsia" w:ascii="宋体" w:hAnsi="宋体"/>
                <w:kern w:val="0"/>
                <w:szCs w:val="21"/>
              </w:rPr>
              <w:t>竞标报价中，组织措施费、安全文明施工费、建设工程竣工档案编制费、住宅工程质量分户验收费、等均按《重庆市建设工程费用定额》 CQFYDE-2018的规定执行。</w:t>
            </w:r>
          </w:p>
          <w:p>
            <w:pPr>
              <w:snapToGrid w:val="0"/>
              <w:spacing w:line="440" w:lineRule="exact"/>
              <w:ind w:firstLine="420" w:firstLineChars="200"/>
              <w:rPr>
                <w:rFonts w:ascii="宋体" w:hAnsi="宋体"/>
                <w:kern w:val="0"/>
                <w:szCs w:val="21"/>
              </w:rPr>
            </w:pPr>
            <w:r>
              <w:rPr>
                <w:rFonts w:hint="eastAsia" w:ascii="宋体" w:hAnsi="宋体"/>
                <w:kern w:val="0"/>
                <w:szCs w:val="21"/>
              </w:rPr>
              <w:t>6.3.2.2“分部分项工程量清单计价表”所列各子目的综合单价组成中，各子目的人工费、材料费、施工机具使用费、企业管理费、利润及风险费由竞标人按照其自身情况做充分的、竞争性考虑。若遇不合理调整消耗量、明显提高或降低材料单价等为获得不合理利益的，在招标清单工程量外新增加的工程量比选人可按变更计价原则中新增单价的计算方式进行调减。</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6.3.3总承包服务费:以重庆18定额约定建筑面积计算规则按3元/ m2计取，不因任何原因调整。不论实际情况与承包人估计有多大出入，亦不论有无设计变更，一律不予以调整。除此费用外，发包人不再向承包人支付任何总包管理、配合费，承包人也不得向发包人直接发包或三方施工合同分包单位收取任何管理、配合费。总承包管理、协调、配合内容包含但不限于如下：</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6.3.3.1对分包单位、发包人直接发包单位的管理、协调、配合的费用（含配合发包人进行材料采购所需的费用及进场后的保管费用），承包人不得以任何理由另外收取分包单位、发包人直接发包单位的配合费。</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6.3.3.2应由承包方免费提供给发包认指定分包单位、独立施工单位使用的设施、设备及服务。</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6.3.3.3建筑门窗、管道孔的预留及填补、塞缝及金属构件与墙体连接填补及套管塞缝、管线暗埋的开槽刨沟及砼面压槽费用。</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6.3.3.4现场所产生的垃圾进行统一的管理,设置合理的集中堆放点用于存放现场产生的所有垃圾,垃圾外运(含倾倒、堆放、处理等,同时也包含分包及发包人直接发包工程所产生的垃圾外运)所产生的费用。</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6.3.3.5现场需积极配合自来水、供电、天然气、电信等配套公司的施工要求,可能发生的费用已包含于配合费中。</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6.3.3.6约定的其他配合内容：</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a：协调日常工作，提供各分包及发包人直接发包工程的月进度计划及工期、安全文明施工、成品保护等工作；</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b：与分包及发包人直接发包商核对清楚各分包及发包人直接发包工程图纸与总包图纸间相关联的尺寸、标高等数据是否统一</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c：及时提供分包及发包人直接发包单位材料、设备进场、吊装、堆放、保管条件；</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d：提供工地现已设置的垂直运输、塔吊、现有脚手架供分包及发包人直接发包工程使用，满足工艺要求的合理施工时间，如需拆除应报发包人批准；</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e：提供必要合理的施工用水用电接驳点并承担维护及管理责任，施工用水电费由分包及发包人直接发包方自安水电表或是与承包人协商处理，费用标准按承包人的总承包施工合同的费用标准执行。</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f：材料设备堆放场地等；</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g：提供必要测量定位；</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h：按施工图、图纸会审、设计变更及有关规范等完成全部分包及甲方直接发包工程预留预埋，线管须穿铁丝；</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i：修补分包工程施工损坏内外墙瓷片，完成所有分包及发包人直接发包工程安装后的修补及塞填缝、挂钢丝网。</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j：在分包及发包人直接发包工程施工前，按发包人及监理的要求完成有关的土建项目施工，提供具备各分包及发包人直接发包工程施工的条件；</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k：在电梯及强、弱电竖井开始安装前，在每个电梯门及强、弱电竖井的门口处，应考虑临时防水措施，防止水侵入电梯井道及强、弱电竖井，否则，造成的损失由承包人负责；</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l：负责在交叉施工过程中，采取措施保护分包及发包人直接发包工程成品，分包及发包人直接发包工程的成品遭到破坏，如查实损坏单位，由损坏单位承担全部责任。否则由发包人分包单位承担70%，承包人承担30%；</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m：分包及发包人直接发包工程竣工验收合格后，由分包及发包人直接发包单位和承包人办理移交手续，即日起承包人负责该分包及发包人直接发包工程的成品保护工作，由于保护不周造成损坏的概由承包人负责。</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n：所有施工成品保护、工地生产区、生活区保安、停水停电措施、施工场地清理的费用。</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o：其他方便分包及发包人直接发包工程施工的工作。竣工资料的统一收集整理，并按档案管理要求装订。</w:t>
            </w:r>
          </w:p>
          <w:p>
            <w:pPr>
              <w:snapToGrid w:val="0"/>
              <w:spacing w:line="440" w:lineRule="exact"/>
              <w:ind w:firstLine="420" w:firstLineChars="200"/>
              <w:rPr>
                <w:rFonts w:ascii="宋体" w:hAnsi="宋体" w:cs="Arial"/>
                <w:kern w:val="0"/>
                <w:szCs w:val="21"/>
              </w:rPr>
            </w:pPr>
            <w:r>
              <w:rPr>
                <w:rFonts w:hint="eastAsia" w:ascii="宋体" w:hAnsi="宋体" w:cs="Arial"/>
                <w:kern w:val="0"/>
                <w:szCs w:val="21"/>
              </w:rPr>
              <w:t>承包人在收取本合同约定的可收取的费用外，不得向分包及甲方直接发包单位收取其他任何费用，一经发现，承包人向发包人支付 5 万元违约金/次，并向分包及发包人直接发包单位支付多收金额双倍的违约金，此部分费用由发包人在承包人当月进度款中扣除。另外承包人必须无条件提供专业分包单位及发包人直接发包工程施工单位进场条件，若因承包人原因导致专业分包及发包人直接发包单位不能按期进场，承包人每次向甲方支付违约金 5 万元，并承担由此造成的一切损失。</w:t>
            </w:r>
          </w:p>
          <w:p>
            <w:pPr>
              <w:snapToGrid w:val="0"/>
              <w:spacing w:line="440" w:lineRule="exact"/>
              <w:ind w:firstLine="420" w:firstLineChars="200"/>
              <w:rPr>
                <w:rFonts w:ascii="宋体" w:hAnsi="宋体"/>
                <w:kern w:val="0"/>
                <w:szCs w:val="21"/>
              </w:rPr>
            </w:pPr>
            <w:r>
              <w:rPr>
                <w:rFonts w:hint="eastAsia" w:ascii="宋体" w:hAnsi="宋体"/>
                <w:kern w:val="0"/>
                <w:szCs w:val="21"/>
              </w:rPr>
              <w:t>6.3.4措施项目清单的报价要求</w:t>
            </w:r>
          </w:p>
          <w:p>
            <w:pPr>
              <w:snapToGrid w:val="0"/>
              <w:spacing w:line="440" w:lineRule="exact"/>
              <w:ind w:firstLine="420" w:firstLineChars="200"/>
              <w:rPr>
                <w:rFonts w:ascii="宋体" w:hAnsi="宋体"/>
                <w:kern w:val="0"/>
                <w:szCs w:val="21"/>
              </w:rPr>
            </w:pPr>
            <w:r>
              <w:rPr>
                <w:rFonts w:hint="eastAsia" w:ascii="宋体" w:hAnsi="宋体"/>
                <w:kern w:val="0"/>
                <w:szCs w:val="21"/>
              </w:rPr>
              <w:t>措施项目费清单包括施工组织措施项目清单和施工技术措施项目清单两部分。</w:t>
            </w:r>
          </w:p>
          <w:p>
            <w:pPr>
              <w:snapToGrid w:val="0"/>
              <w:spacing w:line="440" w:lineRule="exact"/>
              <w:ind w:firstLine="420" w:firstLineChars="200"/>
              <w:rPr>
                <w:rFonts w:ascii="宋体" w:hAnsi="宋体"/>
                <w:kern w:val="0"/>
                <w:szCs w:val="21"/>
              </w:rPr>
            </w:pPr>
            <w:r>
              <w:rPr>
                <w:rFonts w:hint="eastAsia" w:ascii="宋体" w:hAnsi="宋体"/>
                <w:kern w:val="0"/>
                <w:szCs w:val="21"/>
              </w:rPr>
              <w:t>6.3.4.1施工组织措施项目清单：本项目组织措施项目费根据《重庆市建设工程费用定额》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竞标人参考，竞标人在竞标报价时可参照比选人给出的施工组织措施项目清单并结合本工程的实际情况和国家及重庆市相关管理规定自行增减项目，并进行报价。如果漏项或不报价，视为已包含在其他项目清单综合单价内。</w:t>
            </w:r>
          </w:p>
          <w:p>
            <w:pPr>
              <w:snapToGrid w:val="0"/>
              <w:spacing w:line="440" w:lineRule="exact"/>
              <w:ind w:firstLine="420" w:firstLineChars="200"/>
              <w:rPr>
                <w:rFonts w:ascii="宋体" w:hAnsi="宋体"/>
                <w:kern w:val="0"/>
                <w:szCs w:val="21"/>
              </w:rPr>
            </w:pPr>
            <w:r>
              <w:rPr>
                <w:rFonts w:hint="eastAsia" w:ascii="宋体" w:hAnsi="宋体"/>
                <w:kern w:val="0"/>
                <w:szCs w:val="21"/>
              </w:rPr>
              <w:t>6.3.4.2施工技术措施项目清单：技术措施清单中以项计列的项目，由竞标人根据现场踏勘情况及本工程的实际情况结合自身施工组织设计，以项为单位自行报价，结算原则详见合同专用条款14.2条规定。技术措施清单中以项目编码、项目名称、项目特征、工程内容、工程量及计量单位列项的项目，竞标人必须按比选人给出的施工技术措施项目清单进行报价，不得擅自变改比选人提供的施工技术措施项目清单中的序号、项目编码、项目名称、项目特征、工程内容、工程量及计量单位，</w:t>
            </w:r>
            <w:r>
              <w:rPr>
                <w:rFonts w:hint="eastAsia" w:ascii="宋体" w:hAnsi="宋体"/>
                <w:b/>
                <w:bCs/>
                <w:kern w:val="0"/>
                <w:szCs w:val="21"/>
              </w:rPr>
              <w:t>否则视为对比选文件不作实质性响应，其竞标文件按</w:t>
            </w:r>
            <w:r>
              <w:rPr>
                <w:rFonts w:hint="eastAsia" w:ascii="宋体" w:hAnsi="宋体" w:cs="宋体"/>
                <w:b/>
                <w:kern w:val="0"/>
              </w:rPr>
              <w:t>否决竞标</w:t>
            </w:r>
            <w:r>
              <w:rPr>
                <w:rFonts w:hint="eastAsia" w:ascii="宋体" w:hAnsi="宋体"/>
                <w:b/>
                <w:bCs/>
                <w:kern w:val="0"/>
                <w:szCs w:val="21"/>
              </w:rPr>
              <w:t>处理</w:t>
            </w:r>
            <w:r>
              <w:rPr>
                <w:rFonts w:hint="eastAsia" w:ascii="宋体" w:hAnsi="宋体"/>
                <w:kern w:val="0"/>
                <w:szCs w:val="21"/>
              </w:rPr>
              <w:t>，中标后相应的综合单价不作调整，工程量按《建设工程工程量清单计价规范》（GB50500-2013）规定的计量规则及工程量清单说明按实计量。（竞标人须提供技术措施综合单价分析表电子版）。</w:t>
            </w:r>
          </w:p>
          <w:p>
            <w:pPr>
              <w:snapToGrid w:val="0"/>
              <w:spacing w:line="440" w:lineRule="exact"/>
              <w:ind w:firstLine="420" w:firstLineChars="200"/>
              <w:rPr>
                <w:rFonts w:ascii="宋体" w:hAnsi="宋体"/>
                <w:kern w:val="0"/>
                <w:szCs w:val="21"/>
              </w:rPr>
            </w:pPr>
            <w:r>
              <w:rPr>
                <w:rFonts w:hint="eastAsia" w:ascii="宋体" w:hAnsi="宋体"/>
                <w:kern w:val="0"/>
                <w:szCs w:val="21"/>
              </w:rPr>
              <w:t>6.3.5其他项目清单的报价要求</w:t>
            </w:r>
          </w:p>
          <w:p>
            <w:pPr>
              <w:snapToGrid w:val="0"/>
              <w:spacing w:line="440" w:lineRule="exact"/>
              <w:ind w:firstLine="420" w:firstLineChars="200"/>
              <w:rPr>
                <w:rFonts w:ascii="宋体" w:hAnsi="宋体"/>
                <w:kern w:val="0"/>
                <w:szCs w:val="21"/>
              </w:rPr>
            </w:pPr>
            <w:r>
              <w:rPr>
                <w:rFonts w:hint="eastAsia" w:ascii="宋体" w:hAnsi="宋体"/>
                <w:kern w:val="0"/>
                <w:szCs w:val="21"/>
              </w:rPr>
              <w:t>6.3.5.1比选文件及相关补遗文件规定了暂列金额，材料设备暂估价、专业工程暂估价的，竞标人必须按比选人给定的价格进行报价，否则视为对比选文件不作实质性响应，</w:t>
            </w:r>
            <w:r>
              <w:rPr>
                <w:rFonts w:hint="eastAsia" w:ascii="宋体" w:hAnsi="宋体"/>
                <w:b/>
                <w:bCs/>
                <w:kern w:val="0"/>
                <w:szCs w:val="21"/>
              </w:rPr>
              <w:t>其竞标文件按</w:t>
            </w:r>
            <w:r>
              <w:rPr>
                <w:rFonts w:hint="eastAsia" w:ascii="宋体" w:hAnsi="宋体" w:cs="宋体"/>
                <w:b/>
                <w:kern w:val="0"/>
              </w:rPr>
              <w:t>否决竞标</w:t>
            </w:r>
            <w:r>
              <w:rPr>
                <w:rFonts w:hint="eastAsia" w:ascii="宋体" w:hAnsi="宋体"/>
                <w:b/>
                <w:bCs/>
                <w:kern w:val="0"/>
                <w:szCs w:val="21"/>
              </w:rPr>
              <w:t>处理</w:t>
            </w:r>
            <w:r>
              <w:rPr>
                <w:rFonts w:hint="eastAsia" w:ascii="宋体" w:hAnsi="宋体"/>
                <w:kern w:val="0"/>
                <w:szCs w:val="21"/>
              </w:rPr>
              <w:t>。</w:t>
            </w:r>
          </w:p>
          <w:p>
            <w:pPr>
              <w:snapToGrid w:val="0"/>
              <w:spacing w:line="440" w:lineRule="exact"/>
              <w:ind w:firstLine="420" w:firstLineChars="200"/>
              <w:rPr>
                <w:rFonts w:ascii="宋体" w:hAnsi="宋体"/>
                <w:kern w:val="0"/>
                <w:szCs w:val="21"/>
              </w:rPr>
            </w:pPr>
            <w:r>
              <w:rPr>
                <w:rFonts w:hint="eastAsia" w:ascii="宋体" w:hAnsi="宋体"/>
                <w:kern w:val="0"/>
                <w:szCs w:val="21"/>
              </w:rPr>
              <w:t>6.3.6专业工程暂估价达到重庆市规定规模标准或属于依法必须进行招标的，应当依法进行招标。</w:t>
            </w:r>
          </w:p>
          <w:p>
            <w:pPr>
              <w:snapToGrid w:val="0"/>
              <w:spacing w:line="440" w:lineRule="exact"/>
              <w:ind w:firstLine="420" w:firstLineChars="200"/>
              <w:rPr>
                <w:rFonts w:ascii="宋体" w:hAnsi="宋体"/>
                <w:kern w:val="0"/>
                <w:szCs w:val="21"/>
              </w:rPr>
            </w:pPr>
            <w:r>
              <w:rPr>
                <w:rFonts w:hint="eastAsia" w:ascii="宋体" w:hAnsi="宋体"/>
                <w:kern w:val="0"/>
                <w:szCs w:val="21"/>
              </w:rPr>
              <w:t>6.3.7安全文明施工费</w:t>
            </w:r>
          </w:p>
          <w:p>
            <w:pPr>
              <w:snapToGrid w:val="0"/>
              <w:spacing w:line="440" w:lineRule="exact"/>
              <w:ind w:firstLine="420" w:firstLineChars="200"/>
              <w:rPr>
                <w:rFonts w:ascii="宋体" w:hAnsi="宋体"/>
                <w:kern w:val="0"/>
                <w:szCs w:val="21"/>
              </w:rPr>
            </w:pPr>
            <w:r>
              <w:rPr>
                <w:rFonts w:hint="eastAsia" w:ascii="宋体" w:hAnsi="宋体"/>
                <w:kern w:val="0"/>
                <w:szCs w:val="21"/>
              </w:rPr>
              <w:t>本工程安全文明施工费由比选人根据根据2018年《重庆市建设工程费用定额》相关规定进行计算，各竞标人按暂定金额</w:t>
            </w:r>
            <w:r>
              <w:rPr>
                <w:rFonts w:ascii="宋体" w:hAnsi="宋体"/>
                <w:b/>
                <w:bCs/>
                <w:szCs w:val="21"/>
                <w:u w:val="single"/>
              </w:rPr>
              <w:t>55037.19</w:t>
            </w:r>
            <w:r>
              <w:rPr>
                <w:rFonts w:hint="eastAsia" w:ascii="宋体" w:hAnsi="宋体"/>
                <w:kern w:val="0"/>
                <w:szCs w:val="21"/>
              </w:rPr>
              <w:t>元计入竞标报价，竞标人必须按暂定金额填报，不得浮动，</w:t>
            </w:r>
            <w:r>
              <w:rPr>
                <w:rFonts w:hint="eastAsia" w:ascii="宋体" w:hAnsi="宋体"/>
                <w:b/>
                <w:bCs/>
                <w:kern w:val="0"/>
                <w:szCs w:val="21"/>
              </w:rPr>
              <w:t>否则视为对比选文件不作实质性响应，其竞标文件按</w:t>
            </w:r>
            <w:r>
              <w:rPr>
                <w:rFonts w:hint="eastAsia" w:ascii="宋体" w:hAnsi="宋体" w:cs="宋体"/>
                <w:b/>
                <w:kern w:val="0"/>
              </w:rPr>
              <w:t>否决竞标</w:t>
            </w:r>
            <w:r>
              <w:rPr>
                <w:rFonts w:hint="eastAsia" w:ascii="宋体" w:hAnsi="宋体"/>
                <w:b/>
                <w:bCs/>
                <w:kern w:val="0"/>
                <w:szCs w:val="21"/>
              </w:rPr>
              <w:t>处理</w:t>
            </w:r>
            <w:r>
              <w:rPr>
                <w:rFonts w:hint="eastAsia" w:ascii="宋体" w:hAnsi="宋体"/>
                <w:kern w:val="0"/>
                <w:szCs w:val="21"/>
              </w:rPr>
              <w:t>。竞标人应将安全文明施工费用列入“施工组织措施项目清单计价表”中。安全文明施工综合评定结果为不合格，则不计取。</w:t>
            </w:r>
          </w:p>
          <w:p>
            <w:pPr>
              <w:snapToGrid w:val="0"/>
              <w:spacing w:line="440" w:lineRule="exact"/>
              <w:ind w:firstLine="420" w:firstLineChars="200"/>
              <w:rPr>
                <w:rFonts w:ascii="宋体" w:hAnsi="宋体"/>
                <w:kern w:val="0"/>
                <w:szCs w:val="21"/>
              </w:rPr>
            </w:pPr>
            <w:r>
              <w:rPr>
                <w:rFonts w:hint="eastAsia" w:ascii="宋体" w:hAnsi="宋体"/>
                <w:kern w:val="0"/>
                <w:szCs w:val="21"/>
              </w:rPr>
              <w:t>6.3.8材料采购及报价</w:t>
            </w:r>
          </w:p>
          <w:p>
            <w:pPr>
              <w:snapToGrid w:val="0"/>
              <w:spacing w:line="440" w:lineRule="exact"/>
              <w:ind w:firstLine="420" w:firstLineChars="200"/>
              <w:rPr>
                <w:rFonts w:ascii="宋体" w:hAnsi="宋体"/>
                <w:kern w:val="0"/>
                <w:szCs w:val="21"/>
              </w:rPr>
            </w:pPr>
            <w:r>
              <w:rPr>
                <w:rFonts w:hint="eastAsia" w:ascii="宋体" w:hAnsi="宋体"/>
                <w:kern w:val="0"/>
                <w:szCs w:val="21"/>
              </w:rPr>
              <w:t>6.3.8.1本工程所需材料、设备价由各竞标人结合市场行情以及竞标人的自身实力自主报价，承担材料、设备价格涨跌风险，并且竞标人所报综合单价分析表中的材料、设备价格应与“承包人提供主要材料和工程设备一览表”中的相应材料、设备价格一致，</w:t>
            </w:r>
            <w:r>
              <w:rPr>
                <w:rFonts w:hint="eastAsia" w:ascii="宋体" w:hAnsi="宋体"/>
                <w:b/>
                <w:bCs/>
                <w:kern w:val="0"/>
                <w:szCs w:val="21"/>
              </w:rPr>
              <w:t>否则视为竞标人不实质性响应比选文件，其竞标文件按</w:t>
            </w:r>
            <w:r>
              <w:rPr>
                <w:rFonts w:hint="eastAsia" w:ascii="宋体" w:hAnsi="宋体" w:cs="宋体"/>
                <w:b/>
                <w:kern w:val="0"/>
              </w:rPr>
              <w:t>否决竞标</w:t>
            </w:r>
            <w:r>
              <w:rPr>
                <w:rFonts w:hint="eastAsia" w:ascii="宋体" w:hAnsi="宋体"/>
                <w:b/>
                <w:bCs/>
                <w:kern w:val="0"/>
                <w:szCs w:val="21"/>
              </w:rPr>
              <w:t>处理</w:t>
            </w:r>
            <w:r>
              <w:rPr>
                <w:rFonts w:hint="eastAsia" w:ascii="宋体" w:hAnsi="宋体"/>
                <w:kern w:val="0"/>
                <w:szCs w:val="21"/>
              </w:rPr>
              <w:t>。</w:t>
            </w:r>
          </w:p>
          <w:p>
            <w:pPr>
              <w:snapToGrid w:val="0"/>
              <w:spacing w:line="440" w:lineRule="exact"/>
              <w:ind w:firstLine="420" w:firstLineChars="200"/>
              <w:rPr>
                <w:rFonts w:ascii="宋体" w:hAnsi="宋体"/>
                <w:kern w:val="0"/>
                <w:szCs w:val="21"/>
              </w:rPr>
            </w:pPr>
            <w:r>
              <w:rPr>
                <w:rFonts w:hint="eastAsia" w:ascii="宋体" w:hAnsi="宋体"/>
                <w:kern w:val="0"/>
                <w:szCs w:val="21"/>
              </w:rPr>
              <w:t>6.3.8.2本工程所需的所有材料、设备均由中标人自行采购（如建设单位在招标时拟提供甲供材的另行要求），所采购的材料、设备必须符合国家规范标准及设计文件、比选文件要求，同时符合同类材料产品中高档次要求，并提供相应合格证明资料、质保书等。材料、设备运输距离由竞标单位根据自身情况及踏勘现场情况自行确定,中标后不调整。</w:t>
            </w:r>
          </w:p>
          <w:p>
            <w:pPr>
              <w:snapToGrid w:val="0"/>
              <w:spacing w:line="440" w:lineRule="exact"/>
              <w:ind w:firstLine="420" w:firstLineChars="200"/>
              <w:rPr>
                <w:rFonts w:ascii="宋体" w:hAnsi="宋体"/>
                <w:kern w:val="0"/>
                <w:szCs w:val="21"/>
              </w:rPr>
            </w:pPr>
            <w:r>
              <w:rPr>
                <w:rFonts w:hint="eastAsia" w:ascii="宋体" w:hAnsi="宋体"/>
                <w:kern w:val="0"/>
                <w:szCs w:val="21"/>
              </w:rPr>
              <w:t>6.3.8.3暂定价材料部分(详见附件材料（工程设备）暂估单价及调整表)在实施过程中按经比选人、监理核定的价格进行结算，仅调整材料价差，除税金外不再计算任何费用，其消耗量按竞标单价分析表中的消耗量计算，但高于定额消耗量的按定额消耗量计算，没有定额消耗量的参照材料（工程设备）暂估单价及调整表中给定的消耗量。</w:t>
            </w:r>
          </w:p>
          <w:p>
            <w:pPr>
              <w:autoSpaceDE w:val="0"/>
              <w:autoSpaceDN w:val="0"/>
              <w:adjustRightInd w:val="0"/>
              <w:snapToGrid w:val="0"/>
              <w:spacing w:line="440" w:lineRule="exact"/>
              <w:ind w:right="37" w:firstLine="420" w:firstLineChars="200"/>
              <w:jc w:val="left"/>
              <w:rPr>
                <w:rFonts w:ascii="宋体" w:hAnsi="宋体"/>
                <w:szCs w:val="21"/>
              </w:rPr>
            </w:pPr>
            <w:r>
              <w:rPr>
                <w:rFonts w:hint="eastAsia" w:ascii="宋体" w:hAnsi="宋体"/>
                <w:szCs w:val="21"/>
              </w:rPr>
              <w:t>6.3.8.4借土场和弃渣场由发包人现场指定，运距按</w:t>
            </w:r>
            <w:r>
              <w:rPr>
                <w:rFonts w:hint="eastAsia" w:ascii="宋体" w:hAnsi="宋体"/>
                <w:szCs w:val="21"/>
                <w:u w:val="single"/>
              </w:rPr>
              <w:t> 2 </w:t>
            </w:r>
            <w:r>
              <w:rPr>
                <w:rFonts w:hint="eastAsia" w:ascii="宋体" w:hAnsi="宋体"/>
                <w:szCs w:val="21"/>
              </w:rPr>
              <w:t>公里考虑，超出运距部分根据清单按实结算。</w:t>
            </w:r>
          </w:p>
          <w:p>
            <w:pPr>
              <w:autoSpaceDE w:val="0"/>
              <w:autoSpaceDN w:val="0"/>
              <w:adjustRightInd w:val="0"/>
              <w:snapToGrid w:val="0"/>
              <w:spacing w:line="440" w:lineRule="exact"/>
              <w:ind w:right="37" w:firstLine="420" w:firstLineChars="200"/>
              <w:jc w:val="left"/>
              <w:rPr>
                <w:rFonts w:ascii="宋体" w:hAnsi="宋体"/>
                <w:kern w:val="0"/>
                <w:szCs w:val="21"/>
              </w:rPr>
            </w:pPr>
            <w:r>
              <w:rPr>
                <w:rFonts w:hint="eastAsia" w:ascii="宋体" w:hAnsi="宋体"/>
                <w:szCs w:val="21"/>
              </w:rPr>
              <w:t>6.3.8.5发包人指定的弃土场，弃土范围和碾压要求等，需执行设计要求。</w:t>
            </w:r>
          </w:p>
          <w:p>
            <w:pPr>
              <w:snapToGrid w:val="0"/>
              <w:spacing w:line="440" w:lineRule="exact"/>
              <w:ind w:firstLine="420" w:firstLineChars="200"/>
              <w:rPr>
                <w:rFonts w:ascii="宋体" w:hAnsi="宋体"/>
                <w:kern w:val="0"/>
                <w:szCs w:val="21"/>
              </w:rPr>
            </w:pPr>
            <w:r>
              <w:rPr>
                <w:rFonts w:hint="eastAsia" w:ascii="宋体" w:hAnsi="宋体"/>
                <w:kern w:val="0"/>
                <w:szCs w:val="21"/>
              </w:rPr>
              <w:t>6.3.9人工费</w:t>
            </w:r>
          </w:p>
          <w:p>
            <w:pPr>
              <w:snapToGrid w:val="0"/>
              <w:spacing w:line="440" w:lineRule="exact"/>
              <w:ind w:firstLine="420" w:firstLineChars="200"/>
              <w:rPr>
                <w:rFonts w:ascii="宋体" w:hAnsi="宋体"/>
                <w:kern w:val="0"/>
                <w:szCs w:val="21"/>
              </w:rPr>
            </w:pPr>
            <w:r>
              <w:rPr>
                <w:rFonts w:hint="eastAsia" w:ascii="宋体" w:hAnsi="宋体"/>
                <w:kern w:val="0"/>
                <w:szCs w:val="21"/>
              </w:rPr>
              <w:t>本工程人工单价由各竞标人结合市场行情自主测算计入各分部分项综合单价中，中标后不再调整。</w:t>
            </w:r>
          </w:p>
          <w:p>
            <w:pPr>
              <w:pStyle w:val="121"/>
              <w:spacing w:line="560" w:lineRule="exact"/>
              <w:rPr>
                <w:rFonts w:ascii="仿宋" w:hAnsi="仿宋" w:eastAsia="仿宋"/>
                <w:bCs/>
                <w:sz w:val="28"/>
                <w:szCs w:val="28"/>
              </w:rPr>
            </w:pPr>
            <w:r>
              <w:rPr>
                <w:rFonts w:hint="eastAsia" w:ascii="宋体" w:hAnsi="宋体"/>
                <w:kern w:val="0"/>
                <w:szCs w:val="21"/>
              </w:rPr>
              <w:t>6.3.10本工程税金按《重庆市建设工程费用定额》 CQFYDE-2018、《重庆市城乡建设委员会关于适用增值税新税率调整建设工程计价依据的通知》（渝建〔2019〕143号）文件规定调整的要求执行。</w:t>
            </w:r>
          </w:p>
          <w:p>
            <w:pPr>
              <w:snapToGrid w:val="0"/>
              <w:spacing w:line="440" w:lineRule="exact"/>
              <w:ind w:firstLine="420" w:firstLineChars="200"/>
              <w:jc w:val="left"/>
              <w:rPr>
                <w:rFonts w:ascii="宋体" w:hAnsi="宋体"/>
                <w:kern w:val="0"/>
                <w:szCs w:val="21"/>
              </w:rPr>
            </w:pPr>
            <w:r>
              <w:rPr>
                <w:rFonts w:hint="eastAsia" w:ascii="宋体" w:hAnsi="宋体"/>
                <w:kern w:val="0"/>
                <w:szCs w:val="21"/>
              </w:rPr>
              <w:t>6.3.11竞标报价的特别说明：竞标人应将完成该工程发生的包括但不限于以下措施和风险费用纳入本次竞标报价，中标后不再另外计算相关费用。</w:t>
            </w:r>
            <w:r>
              <w:rPr>
                <w:rFonts w:hint="eastAsia" w:ascii="宋体" w:hAnsi="宋体"/>
                <w:kern w:val="0"/>
                <w:szCs w:val="21"/>
              </w:rPr>
              <w:br w:type="textWrapping"/>
            </w:r>
            <w:r>
              <w:rPr>
                <w:rFonts w:hint="eastAsia" w:ascii="宋体" w:hAnsi="宋体"/>
                <w:kern w:val="0"/>
                <w:szCs w:val="21"/>
              </w:rPr>
              <w:t xml:space="preserve">    1）竞标人应充分调查招标工程范围内及周边的现有地方路网并踏勘现场，自行考虑进场道路和施工便道布设方案（含到弃渣场的道路），自行测算新修施工临时便道费用或因使用现有道路产生的拓宽及维护保养或租用等费用（如果有），如使用现有道路造成道路破坏的，其恢复费用，由竞标人自行测算，计入施工技术措施项目清单，纳入本次竞标报价。</w:t>
            </w:r>
            <w:r>
              <w:rPr>
                <w:rFonts w:hint="eastAsia" w:ascii="宋体" w:hAnsi="宋体"/>
                <w:kern w:val="0"/>
                <w:szCs w:val="21"/>
              </w:rPr>
              <w:br w:type="textWrapping"/>
            </w:r>
            <w:r>
              <w:rPr>
                <w:rFonts w:hint="eastAsia" w:ascii="宋体" w:hAnsi="宋体"/>
                <w:kern w:val="0"/>
                <w:szCs w:val="21"/>
              </w:rPr>
              <w:t xml:space="preserve">    2）根据本项目的实际情况，余方外弃的渣场由需要甲乙双方共同确认，竞标人不得乱弃渣；竞标人应充分考虑弃渣的所有费用（包含但不限于如渣场的堆放、平整、安全、稳定、管理、租借等），纳入竞标报价内。</w:t>
            </w:r>
            <w:r>
              <w:rPr>
                <w:rFonts w:hint="eastAsia" w:ascii="宋体" w:hAnsi="宋体"/>
                <w:kern w:val="0"/>
                <w:szCs w:val="21"/>
              </w:rPr>
              <w:br w:type="textWrapping"/>
            </w:r>
            <w:r>
              <w:rPr>
                <w:rFonts w:hint="eastAsia" w:ascii="宋体" w:hAnsi="宋体"/>
                <w:kern w:val="0"/>
                <w:szCs w:val="21"/>
              </w:rPr>
              <w:t xml:space="preserve">    3）竞标人应充分考虑因土石方挖填平衡造成的场内转运（包含多次转运）及周边临时堆场等情况；且临时堆场不得影响其他项目的实施，并充分考虑开挖的土石方如不符合回填要求并在场地内堆放、解小满足至符合填料要求的情况，且设计回填必须满足设计、规范要求，均由竞标人自行测算此费用，纳入本次报价。</w:t>
            </w:r>
          </w:p>
          <w:p>
            <w:pPr>
              <w:snapToGrid w:val="0"/>
              <w:spacing w:line="440" w:lineRule="exact"/>
              <w:ind w:firstLine="420" w:firstLineChars="200"/>
              <w:jc w:val="left"/>
              <w:rPr>
                <w:rFonts w:ascii="宋体" w:hAnsi="宋体"/>
                <w:kern w:val="0"/>
                <w:szCs w:val="21"/>
              </w:rPr>
            </w:pPr>
            <w:r>
              <w:rPr>
                <w:rFonts w:hint="eastAsia" w:ascii="宋体" w:hAnsi="宋体"/>
                <w:kern w:val="0"/>
                <w:szCs w:val="21"/>
              </w:rPr>
              <w:t> 4）竞标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竞标人自行测算，纳入本次竞标报价。</w:t>
            </w:r>
            <w:r>
              <w:rPr>
                <w:rFonts w:hint="eastAsia" w:ascii="宋体" w:hAnsi="宋体"/>
                <w:kern w:val="0"/>
                <w:szCs w:val="21"/>
              </w:rPr>
              <w:br w:type="textWrapping"/>
            </w:r>
            <w:r>
              <w:rPr>
                <w:rFonts w:hint="eastAsia" w:ascii="宋体" w:hAnsi="宋体"/>
                <w:kern w:val="0"/>
                <w:szCs w:val="21"/>
              </w:rPr>
              <w:t xml:space="preserve">    5）如因竞标人施工原因导致周边已完和在建工程及其他周边建筑设施出现质量问题或损坏等情况，其责任和由此产生的相关费用由各竞标人自行承担，此部分风险费用，由竞标人自行估计，并纳入竞标报价中。</w:t>
            </w:r>
            <w:r>
              <w:rPr>
                <w:rFonts w:hint="eastAsia" w:ascii="宋体" w:hAnsi="宋体"/>
                <w:kern w:val="0"/>
                <w:szCs w:val="21"/>
              </w:rPr>
              <w:br w:type="textWrapping"/>
            </w:r>
            <w:r>
              <w:rPr>
                <w:rFonts w:hint="eastAsia" w:ascii="宋体" w:hAnsi="宋体"/>
                <w:kern w:val="0"/>
                <w:szCs w:val="21"/>
              </w:rPr>
              <w:t xml:space="preserve">    6）竞标人为完成承包内容，按照国家现行有关建筑工程规范、规程要求，为保证工程质量、安全、工期、环保等各种因素必须采取的特殊措施以及配套完成的工作内容所需的费用。</w:t>
            </w:r>
            <w:r>
              <w:rPr>
                <w:rFonts w:hint="eastAsia" w:ascii="宋体" w:hAnsi="宋体"/>
                <w:kern w:val="0"/>
                <w:szCs w:val="21"/>
              </w:rPr>
              <w:br w:type="textWrapping"/>
            </w:r>
            <w:r>
              <w:rPr>
                <w:rFonts w:hint="eastAsia" w:ascii="宋体" w:hAnsi="宋体"/>
                <w:kern w:val="0"/>
                <w:szCs w:val="21"/>
              </w:rPr>
              <w:t xml:space="preserve">    7）竞标人应充分考虑现场实际情况，不能因停电、停水延误工期。竞标人应自行预备发电机组自行发电，自备发电机的功率应与工程需用电力负荷相适应，确保施工期间能正常使用。竞标人可采用租用消防车或洒水车运输工程用水和生活用水，竞标人还应充分考虑临时用电、用水设备、管线的管护，相关费用均由竞标人自行纳入竞标报价。</w:t>
            </w:r>
            <w:r>
              <w:rPr>
                <w:rFonts w:hint="eastAsia" w:ascii="宋体" w:hAnsi="宋体"/>
                <w:kern w:val="0"/>
                <w:szCs w:val="21"/>
              </w:rPr>
              <w:br w:type="textWrapping"/>
            </w:r>
            <w:r>
              <w:rPr>
                <w:rFonts w:hint="eastAsia" w:ascii="宋体" w:hAnsi="宋体"/>
                <w:kern w:val="0"/>
                <w:szCs w:val="21"/>
              </w:rPr>
              <w:t xml:space="preserve">    8）竞标人必须仔细勘察施工现场，自行考虑场内修建临时道路进行材料运转及多次运转和各类机械设备无法到达的情况，相关费用均由竞标人自行纳入竞标报价。</w:t>
            </w:r>
            <w:r>
              <w:rPr>
                <w:rFonts w:hint="eastAsia" w:ascii="宋体" w:hAnsi="宋体"/>
                <w:kern w:val="0"/>
                <w:szCs w:val="21"/>
              </w:rPr>
              <w:br w:type="textWrapping"/>
            </w:r>
            <w:r>
              <w:rPr>
                <w:rFonts w:hint="eastAsia" w:ascii="宋体" w:hAnsi="宋体"/>
                <w:kern w:val="0"/>
                <w:szCs w:val="21"/>
              </w:rPr>
              <w:t xml:space="preserve">    9）各竞标人应自行考虑本标段修建好的场内临时道路如另一标段需要使用，有义务提供施工道路的通行便利。</w:t>
            </w:r>
            <w:r>
              <w:rPr>
                <w:rFonts w:hint="eastAsia" w:ascii="宋体" w:hAnsi="宋体"/>
                <w:kern w:val="0"/>
                <w:szCs w:val="21"/>
              </w:rPr>
              <w:br w:type="textWrapping"/>
            </w:r>
            <w:r>
              <w:rPr>
                <w:rFonts w:hint="eastAsia" w:ascii="宋体" w:hAnsi="宋体"/>
                <w:kern w:val="0"/>
                <w:szCs w:val="21"/>
              </w:rP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竞标人自行测算纳入竞标报价内。</w:t>
            </w:r>
            <w:r>
              <w:rPr>
                <w:rFonts w:hint="eastAsia" w:ascii="宋体" w:hAnsi="宋体"/>
                <w:kern w:val="0"/>
                <w:szCs w:val="21"/>
              </w:rPr>
              <w:br w:type="textWrapping"/>
            </w:r>
            <w:r>
              <w:rPr>
                <w:rFonts w:hint="eastAsia" w:ascii="宋体" w:hAnsi="宋体"/>
                <w:kern w:val="0"/>
                <w:szCs w:val="21"/>
              </w:rPr>
              <w:t xml:space="preserve">    11）材料、机械堆场必须保证不影响到周边其他项目或标段的实施，得到业主和其他施工单位的同意，各竞标人必须充分了解场地及周边区域的情况，由竞标人自行测算此费用，纳入本次竞标报价。</w:t>
            </w:r>
            <w:r>
              <w:rPr>
                <w:rFonts w:hint="eastAsia" w:ascii="宋体" w:hAnsi="宋体"/>
                <w:kern w:val="0"/>
                <w:szCs w:val="21"/>
              </w:rPr>
              <w:br w:type="textWrapping"/>
            </w:r>
            <w:r>
              <w:rPr>
                <w:rFonts w:hint="eastAsia" w:ascii="宋体" w:hAnsi="宋体"/>
                <w:kern w:val="0"/>
                <w:szCs w:val="21"/>
              </w:rPr>
              <w:t xml:space="preserve">    12）竞标人应充分考虑工程所需要的临时设施用地手续的办理及费用，包含工程范围内所有项目完工后的拆走、清理、清洁（初次开荒）、平整以及除渣（包括场内外运输以及渣场）的费用，包含按照比选人有关现场安全文明、环境保护、消防等管理要求需由竞标方自行设置的现场标识、安全标示、工器具等费用。</w:t>
            </w:r>
            <w:r>
              <w:rPr>
                <w:rFonts w:hint="eastAsia" w:ascii="宋体" w:hAnsi="宋体"/>
                <w:kern w:val="0"/>
                <w:szCs w:val="21"/>
              </w:rPr>
              <w:br w:type="textWrapping"/>
            </w:r>
            <w:r>
              <w:rPr>
                <w:rFonts w:hint="eastAsia" w:ascii="宋体" w:hAnsi="宋体"/>
                <w:kern w:val="0"/>
                <w:szCs w:val="21"/>
              </w:rPr>
              <w:t xml:space="preserve">    13）竞标人应承担与周边其它施工单位、相关部门发生的相互协调费用，纳入本次竞标报价。</w:t>
            </w:r>
            <w:r>
              <w:rPr>
                <w:rFonts w:hint="eastAsia" w:ascii="宋体" w:hAnsi="宋体"/>
                <w:kern w:val="0"/>
                <w:szCs w:val="21"/>
              </w:rPr>
              <w:br w:type="textWrapping"/>
            </w:r>
            <w:r>
              <w:rPr>
                <w:rFonts w:hint="eastAsia" w:ascii="宋体" w:hAnsi="宋体"/>
                <w:kern w:val="0"/>
                <w:szCs w:val="21"/>
              </w:rPr>
              <w:t xml:space="preserve">    14）本项目必须响应比选人的总工期要求，各种赶工措施费、夜间施工费等一切为满足工期要求的投入，由竞标人自行测算，纳入本次竞标报价。如不能按期完成，造成工期延误，比选人保留终止合同的权利。</w:t>
            </w:r>
            <w:r>
              <w:rPr>
                <w:rFonts w:hint="eastAsia" w:ascii="宋体" w:hAnsi="宋体"/>
                <w:kern w:val="0"/>
                <w:szCs w:val="21"/>
              </w:rPr>
              <w:br w:type="textWrapping"/>
            </w:r>
            <w:r>
              <w:rPr>
                <w:rFonts w:hint="eastAsia" w:ascii="宋体" w:hAnsi="宋体"/>
                <w:kern w:val="0"/>
                <w:szCs w:val="21"/>
              </w:rPr>
              <w:t xml:space="preserve">    15）保证交通顺利通行的行车、行人干扰措施费。</w:t>
            </w:r>
            <w:r>
              <w:rPr>
                <w:rFonts w:hint="eastAsia" w:ascii="宋体" w:hAnsi="宋体"/>
                <w:kern w:val="0"/>
                <w:szCs w:val="21"/>
              </w:rPr>
              <w:br w:type="textWrapping"/>
            </w:r>
            <w:r>
              <w:rPr>
                <w:rFonts w:hint="eastAsia" w:ascii="宋体" w:hAnsi="宋体"/>
                <w:kern w:val="0"/>
                <w:szCs w:val="21"/>
              </w:rPr>
              <w:t xml:space="preserve">    16）竞标人为完成承包内容，按照国家和地方的现行有关建筑工程规范、规程要求，为保证工程施工、质量、安全、文明、工期、环保、验收等各种因素必须采取的特殊措施以及配套完成的工作内容所需的费用，纳入本次竞标报价。</w:t>
            </w:r>
            <w:r>
              <w:rPr>
                <w:rFonts w:hint="eastAsia" w:ascii="宋体" w:hAnsi="宋体"/>
                <w:kern w:val="0"/>
                <w:szCs w:val="21"/>
              </w:rPr>
              <w:br w:type="textWrapping"/>
            </w:r>
            <w:r>
              <w:rPr>
                <w:rFonts w:hint="eastAsia" w:ascii="宋体" w:hAnsi="宋体"/>
                <w:kern w:val="0"/>
                <w:szCs w:val="21"/>
              </w:rPr>
              <w:t xml:space="preserve">    17）建设规划用地红线内均属于竞标人管理范围，工程完工后，必须对整个红线范围进行测量，如竞标人将建筑垃圾等一切废弃物等弃置到建设用地红线以内或周围的情况，将直接从结算款中双倍扣除。</w:t>
            </w:r>
            <w:r>
              <w:rPr>
                <w:rFonts w:hint="eastAsia" w:ascii="宋体" w:hAnsi="宋体"/>
                <w:kern w:val="0"/>
                <w:szCs w:val="21"/>
              </w:rPr>
              <w:br w:type="textWrapping"/>
            </w:r>
            <w:r>
              <w:rPr>
                <w:rFonts w:hint="eastAsia" w:ascii="宋体" w:hAnsi="宋体"/>
                <w:kern w:val="0"/>
                <w:szCs w:val="21"/>
              </w:rPr>
              <w:t xml:space="preserve">    18）各竞标人应承担施工区域和其他施工范围发生的交叉作业降效等风险费用，纳入本次竞标报价。</w:t>
            </w:r>
            <w:r>
              <w:rPr>
                <w:rFonts w:hint="eastAsia" w:ascii="宋体" w:hAnsi="宋体"/>
                <w:kern w:val="0"/>
                <w:szCs w:val="21"/>
              </w:rPr>
              <w:br w:type="textWrapping"/>
            </w:r>
            <w:r>
              <w:rPr>
                <w:rFonts w:hint="eastAsia" w:ascii="宋体" w:hAnsi="宋体"/>
                <w:kern w:val="0"/>
                <w:szCs w:val="21"/>
              </w:rPr>
              <w:t xml:space="preserve">    19）各竞标人应承担施工合同期间因气候恶劣、洪水等导致工期延长造成工程费用增加的风险，纳入本次竞标报价（不可抗力除外）。</w:t>
            </w:r>
            <w:r>
              <w:rPr>
                <w:rFonts w:hint="eastAsia" w:ascii="宋体" w:hAnsi="宋体"/>
                <w:kern w:val="0"/>
                <w:szCs w:val="21"/>
              </w:rPr>
              <w:br w:type="textWrapping"/>
            </w:r>
            <w:r>
              <w:rPr>
                <w:rFonts w:hint="eastAsia" w:ascii="宋体" w:hAnsi="宋体"/>
                <w:kern w:val="0"/>
                <w:szCs w:val="21"/>
              </w:rPr>
              <w:t xml:space="preserve">    20）各竞标人应承担由于进度款支付比例、审计时间较长的因素，充分考虑资金占用、融资、垫资等风险，纳入本次竞标报价。</w:t>
            </w:r>
            <w:r>
              <w:rPr>
                <w:rFonts w:hint="eastAsia" w:ascii="宋体" w:hAnsi="宋体"/>
                <w:kern w:val="0"/>
                <w:szCs w:val="21"/>
              </w:rPr>
              <w:br w:type="textWrapping"/>
            </w:r>
            <w:r>
              <w:rPr>
                <w:rFonts w:hint="eastAsia" w:ascii="宋体" w:hAnsi="宋体"/>
                <w:kern w:val="0"/>
                <w:szCs w:val="21"/>
              </w:rPr>
              <w:t xml:space="preserve">    21）由比选人负责指定接口，竞标人从比选人指定的水电接口处接到施工场地内的水、电线路安置和牵引费用由竞标人负责。竞标人的施工用电、用水收费按在重庆市的现行收费标准收取。竞标人竞标时，该费用纳入本次竞标报价。</w:t>
            </w:r>
            <w:r>
              <w:rPr>
                <w:rFonts w:hint="eastAsia" w:ascii="宋体" w:hAnsi="宋体"/>
                <w:kern w:val="0"/>
                <w:szCs w:val="21"/>
              </w:rPr>
              <w:br w:type="textWrapping"/>
            </w:r>
            <w:r>
              <w:rPr>
                <w:rFonts w:hint="eastAsia" w:ascii="宋体" w:hAnsi="宋体"/>
                <w:kern w:val="0"/>
                <w:szCs w:val="21"/>
              </w:rPr>
              <w:t xml:space="preserve">    22）各竞标人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渝建发【2015】45号）的规定执行，清运等费用由竞标人自行测算计入措施项目费，纳入本次竞标报价。</w:t>
            </w:r>
          </w:p>
          <w:p>
            <w:pPr>
              <w:snapToGrid w:val="0"/>
              <w:spacing w:line="440" w:lineRule="exact"/>
              <w:ind w:firstLine="420" w:firstLineChars="200"/>
              <w:jc w:val="left"/>
              <w:rPr>
                <w:rFonts w:ascii="宋体" w:hAnsi="宋体"/>
                <w:kern w:val="0"/>
                <w:szCs w:val="21"/>
              </w:rPr>
            </w:pPr>
            <w:r>
              <w:rPr>
                <w:rFonts w:hint="eastAsia" w:ascii="宋体" w:hAnsi="宋体"/>
                <w:kern w:val="0"/>
                <w:szCs w:val="21"/>
              </w:rPr>
              <w:t>注：</w:t>
            </w:r>
            <w:r>
              <w:rPr>
                <w:rFonts w:hint="eastAsia" w:ascii="宋体" w:hAnsi="宋体"/>
                <w:b/>
                <w:bCs/>
                <w:kern w:val="0"/>
                <w:szCs w:val="21"/>
              </w:rPr>
              <w:t>环境保护税由竞标人缴纳，比选人根据缴纳凭证据实支付</w:t>
            </w:r>
            <w:r>
              <w:rPr>
                <w:rFonts w:hint="eastAsia" w:ascii="宋体" w:hAnsi="宋体"/>
                <w:kern w:val="0"/>
                <w:szCs w:val="21"/>
              </w:rPr>
              <w:t>。</w:t>
            </w:r>
            <w:r>
              <w:rPr>
                <w:rFonts w:hint="eastAsia" w:ascii="宋体" w:hAnsi="宋体"/>
                <w:kern w:val="0"/>
                <w:szCs w:val="21"/>
              </w:rPr>
              <w:br w:type="textWrapping"/>
            </w:r>
            <w:r>
              <w:rPr>
                <w:rFonts w:hint="eastAsia" w:ascii="宋体" w:hAnsi="宋体"/>
                <w:kern w:val="0"/>
                <w:szCs w:val="21"/>
              </w:rPr>
              <w:t xml:space="preserve">    23）苗木反季节栽植措施、高温补贴和迎接各类检查发生的费用由竞标人自行测算，纳入本次竞标报价。</w:t>
            </w:r>
            <w:r>
              <w:rPr>
                <w:rFonts w:hint="eastAsia" w:ascii="宋体" w:hAnsi="宋体"/>
                <w:kern w:val="0"/>
                <w:szCs w:val="21"/>
              </w:rPr>
              <w:br w:type="textWrapping"/>
            </w:r>
            <w:r>
              <w:rPr>
                <w:rFonts w:hint="eastAsia" w:ascii="宋体" w:hAnsi="宋体"/>
                <w:kern w:val="0"/>
                <w:szCs w:val="21"/>
              </w:rPr>
              <w:t xml:space="preserve">    24）交通组织措施费用应包含开口费、恢复费、市政围挡、每个开口需配置1-2名协勤人员等措施。交通组织措施费包含在施工技术措施项目清单中，纳入本次竞标报价。</w:t>
            </w:r>
            <w:r>
              <w:rPr>
                <w:rFonts w:hint="eastAsia" w:ascii="宋体" w:hAnsi="宋体"/>
                <w:kern w:val="0"/>
                <w:szCs w:val="21"/>
              </w:rPr>
              <w:br w:type="textWrapping"/>
            </w:r>
            <w:r>
              <w:rPr>
                <w:rFonts w:hint="eastAsia" w:ascii="宋体" w:hAnsi="宋体"/>
                <w:kern w:val="0"/>
                <w:szCs w:val="21"/>
              </w:rPr>
              <w:t xml:space="preserve">    25）水土园区内土石方调配，根据各工程实际需要，从控制投资和少占用土地原则，由水土公司统一调配，竞标人必须无条件服从，并在报价中综合考虑工程量增减因素。</w:t>
            </w:r>
          </w:p>
          <w:p>
            <w:pPr>
              <w:snapToGrid w:val="0"/>
              <w:spacing w:line="440" w:lineRule="exact"/>
              <w:ind w:firstLine="420" w:firstLineChars="200"/>
              <w:jc w:val="left"/>
              <w:rPr>
                <w:rFonts w:ascii="宋体" w:hAnsi="宋体"/>
                <w:kern w:val="0"/>
                <w:szCs w:val="21"/>
              </w:rPr>
            </w:pPr>
            <w:r>
              <w:rPr>
                <w:rFonts w:hint="eastAsia" w:ascii="宋体" w:hAnsi="宋体"/>
                <w:kern w:val="0"/>
                <w:szCs w:val="21"/>
              </w:rPr>
              <w:t>26）中标人需保证现有道路畅通，并将该费用综合考虑到竞标报价中。</w:t>
            </w:r>
          </w:p>
          <w:p>
            <w:pPr>
              <w:snapToGrid w:val="0"/>
              <w:spacing w:line="440" w:lineRule="exact"/>
              <w:ind w:firstLine="420" w:firstLineChars="200"/>
              <w:jc w:val="left"/>
              <w:rPr>
                <w:rFonts w:ascii="宋体" w:hAnsi="宋体"/>
                <w:kern w:val="0"/>
                <w:szCs w:val="21"/>
              </w:rPr>
            </w:pPr>
            <w:r>
              <w:rPr>
                <w:rFonts w:hint="eastAsia" w:ascii="宋体" w:hAnsi="宋体"/>
                <w:kern w:val="0"/>
                <w:szCs w:val="21"/>
              </w:rPr>
              <w:t>27）竞标人应充分考虑现场实际情况，因各种因素可能导致施工单位多次进场，相关费用由竞标人自行考虑纳入竞标报价。</w:t>
            </w:r>
          </w:p>
          <w:p>
            <w:pPr>
              <w:spacing w:line="440" w:lineRule="exact"/>
              <w:ind w:firstLine="420" w:firstLineChars="200"/>
              <w:jc w:val="left"/>
              <w:rPr>
                <w:rFonts w:ascii="宋体" w:hAnsi="宋体"/>
                <w:kern w:val="0"/>
                <w:szCs w:val="21"/>
              </w:rPr>
            </w:pPr>
            <w:r>
              <w:rPr>
                <w:rFonts w:hint="eastAsia" w:ascii="宋体" w:hAnsi="宋体"/>
                <w:kern w:val="0"/>
                <w:szCs w:val="21"/>
              </w:rPr>
              <w:t>28）竞标人应充分考虑现场实际情况，涉及交叉施工费用，相关费用由竞标人自行考虑纳入竞标报价。</w:t>
            </w:r>
          </w:p>
          <w:p>
            <w:pPr>
              <w:spacing w:line="440" w:lineRule="exact"/>
              <w:ind w:firstLine="420" w:firstLineChars="200"/>
              <w:jc w:val="left"/>
              <w:rPr>
                <w:rFonts w:ascii="宋体" w:hAnsi="宋体"/>
                <w:kern w:val="0"/>
                <w:szCs w:val="21"/>
              </w:rPr>
            </w:pPr>
            <w:r>
              <w:rPr>
                <w:rFonts w:hint="eastAsia" w:ascii="宋体" w:hAnsi="宋体"/>
                <w:kern w:val="0"/>
                <w:szCs w:val="21"/>
              </w:rPr>
              <w:t>29)竞标人为业主、监理、设计、跟审单位等提供临时办公场所。</w:t>
            </w:r>
          </w:p>
          <w:p>
            <w:pPr>
              <w:spacing w:line="440" w:lineRule="exact"/>
              <w:ind w:firstLine="420" w:firstLineChars="200"/>
              <w:jc w:val="left"/>
              <w:rPr>
                <w:rFonts w:ascii="宋体" w:hAnsi="宋体"/>
                <w:kern w:val="0"/>
                <w:szCs w:val="21"/>
              </w:rPr>
            </w:pPr>
            <w:r>
              <w:rPr>
                <w:rFonts w:hint="eastAsia" w:ascii="宋体" w:hAnsi="宋体"/>
                <w:kern w:val="0"/>
                <w:szCs w:val="21"/>
              </w:rPr>
              <w:t>30) 本工程的排地表水、抽取雨水、积水、地下水的抽水台班、用工、及措施等费用，边排水边施工降效损失、降水措施(挖集水坑、集水井、排水沟)、临近建筑物施工污水、雨水流入本工程场地内的抽水费用以及挖湿土导致的降效费用等。恶劣天气（暴雨、雪、冰雹等）的施工降效、停窝工、事后清理等费用。</w:t>
            </w:r>
          </w:p>
          <w:p>
            <w:pPr>
              <w:spacing w:line="440" w:lineRule="exact"/>
              <w:ind w:firstLine="420" w:firstLineChars="200"/>
              <w:jc w:val="left"/>
              <w:rPr>
                <w:rFonts w:ascii="宋体" w:hAnsi="宋体"/>
                <w:kern w:val="0"/>
                <w:szCs w:val="21"/>
              </w:rPr>
            </w:pPr>
            <w:r>
              <w:rPr>
                <w:rFonts w:hint="eastAsia" w:ascii="宋体" w:hAnsi="宋体"/>
                <w:kern w:val="0"/>
                <w:szCs w:val="21"/>
              </w:rPr>
              <w:t>31) 远地施工增加费、施工机构迁移费，工程施工的周转性材料、中小型机械30公里以上超定额规定运距的费用；材料、设备场内外运输超定额规定运距增加的费用。</w:t>
            </w:r>
          </w:p>
          <w:p>
            <w:pPr>
              <w:spacing w:line="440" w:lineRule="exact"/>
              <w:ind w:firstLine="420" w:firstLineChars="200"/>
              <w:jc w:val="left"/>
              <w:rPr>
                <w:rFonts w:ascii="宋体" w:hAnsi="宋体"/>
                <w:kern w:val="0"/>
                <w:szCs w:val="21"/>
              </w:rPr>
            </w:pPr>
            <w:r>
              <w:rPr>
                <w:rFonts w:hint="eastAsia" w:ascii="宋体" w:hAnsi="宋体"/>
                <w:kern w:val="0"/>
                <w:szCs w:val="21"/>
              </w:rPr>
              <w:t>32)楼板预留洞口支撑系统施工技术上的措施费用。</w:t>
            </w:r>
          </w:p>
          <w:p>
            <w:pPr>
              <w:spacing w:line="440" w:lineRule="exact"/>
              <w:ind w:firstLine="420" w:firstLineChars="200"/>
              <w:jc w:val="left"/>
              <w:rPr>
                <w:rFonts w:ascii="宋体" w:hAnsi="宋体"/>
                <w:kern w:val="0"/>
                <w:szCs w:val="21"/>
              </w:rPr>
            </w:pPr>
            <w:r>
              <w:rPr>
                <w:rFonts w:hint="eastAsia" w:ascii="宋体" w:hAnsi="宋体"/>
                <w:kern w:val="0"/>
                <w:szCs w:val="21"/>
              </w:rPr>
              <w:t>33)为保证工程质量，承包人所采取的各种质量保证措施费用。</w:t>
            </w:r>
          </w:p>
          <w:p>
            <w:pPr>
              <w:spacing w:line="440" w:lineRule="exact"/>
              <w:ind w:firstLine="420" w:firstLineChars="200"/>
              <w:jc w:val="left"/>
              <w:rPr>
                <w:rFonts w:ascii="宋体" w:hAnsi="宋体"/>
                <w:kern w:val="0"/>
                <w:szCs w:val="21"/>
              </w:rPr>
            </w:pPr>
            <w:r>
              <w:rPr>
                <w:rFonts w:hint="eastAsia" w:ascii="宋体" w:hAnsi="宋体"/>
                <w:kern w:val="0"/>
                <w:szCs w:val="21"/>
              </w:rPr>
              <w:t>34)承包人的竣工清场费用.</w:t>
            </w:r>
          </w:p>
          <w:p>
            <w:pPr>
              <w:spacing w:line="440" w:lineRule="exact"/>
              <w:ind w:firstLine="420" w:firstLineChars="200"/>
              <w:jc w:val="left"/>
              <w:rPr>
                <w:rFonts w:ascii="宋体" w:hAnsi="宋体"/>
                <w:kern w:val="0"/>
                <w:szCs w:val="21"/>
              </w:rPr>
            </w:pPr>
            <w:r>
              <w:rPr>
                <w:rFonts w:hint="eastAsia" w:ascii="宋体" w:hAnsi="宋体"/>
                <w:kern w:val="0"/>
                <w:szCs w:val="21"/>
              </w:rPr>
              <w:t>35)由于施工措施或防护不当造成的关联工程问题处理。</w:t>
            </w:r>
          </w:p>
          <w:p>
            <w:pPr>
              <w:spacing w:line="440" w:lineRule="exact"/>
              <w:ind w:firstLine="420" w:firstLineChars="200"/>
              <w:jc w:val="left"/>
              <w:rPr>
                <w:rFonts w:ascii="宋体" w:hAnsi="宋体"/>
                <w:kern w:val="0"/>
                <w:szCs w:val="21"/>
              </w:rPr>
            </w:pPr>
            <w:r>
              <w:rPr>
                <w:rFonts w:hint="eastAsia" w:ascii="宋体" w:hAnsi="宋体"/>
                <w:kern w:val="0"/>
                <w:szCs w:val="21"/>
              </w:rPr>
              <w:t>36）施工用水表、变配电房（箱）交承包人统筹费用。</w:t>
            </w:r>
          </w:p>
          <w:p>
            <w:pPr>
              <w:spacing w:line="440" w:lineRule="exact"/>
              <w:ind w:firstLine="420" w:firstLineChars="200"/>
              <w:jc w:val="left"/>
              <w:rPr>
                <w:rFonts w:ascii="宋体" w:hAnsi="宋体"/>
                <w:kern w:val="0"/>
                <w:szCs w:val="21"/>
              </w:rPr>
            </w:pPr>
            <w:r>
              <w:rPr>
                <w:rFonts w:hint="eastAsia" w:ascii="宋体" w:hAnsi="宋体"/>
                <w:kern w:val="0"/>
                <w:szCs w:val="21"/>
              </w:rPr>
              <w:t>37）按业主要求发生的开工及进场费用。</w:t>
            </w:r>
          </w:p>
          <w:p>
            <w:pPr>
              <w:spacing w:line="440" w:lineRule="exact"/>
              <w:ind w:firstLine="420" w:firstLineChars="200"/>
              <w:jc w:val="left"/>
              <w:rPr>
                <w:rFonts w:ascii="宋体" w:hAnsi="宋体"/>
                <w:kern w:val="0"/>
                <w:szCs w:val="21"/>
              </w:rPr>
            </w:pPr>
            <w:r>
              <w:rPr>
                <w:rFonts w:hint="eastAsia" w:ascii="宋体" w:hAnsi="宋体"/>
                <w:kern w:val="0"/>
                <w:szCs w:val="21"/>
              </w:rPr>
              <w:t>38）所有外墙（含外墙窗户）淋水试验的全部费用。</w:t>
            </w:r>
          </w:p>
          <w:p>
            <w:pPr>
              <w:spacing w:line="440" w:lineRule="exact"/>
              <w:ind w:firstLine="420" w:firstLineChars="200"/>
              <w:jc w:val="left"/>
              <w:rPr>
                <w:rFonts w:ascii="宋体" w:hAnsi="宋体"/>
                <w:kern w:val="0"/>
                <w:szCs w:val="21"/>
              </w:rPr>
            </w:pPr>
            <w:r>
              <w:rPr>
                <w:rFonts w:hint="eastAsia" w:ascii="宋体" w:hAnsi="宋体"/>
                <w:kern w:val="0"/>
                <w:szCs w:val="21"/>
              </w:rPr>
              <w:t>39）因发包人设计变更、认质认价不及时造成的停、窝工损失。</w:t>
            </w:r>
          </w:p>
          <w:p>
            <w:pPr>
              <w:spacing w:line="440" w:lineRule="exact"/>
              <w:ind w:firstLine="420" w:firstLineChars="200"/>
              <w:jc w:val="left"/>
              <w:rPr>
                <w:rFonts w:ascii="宋体" w:hAnsi="宋体"/>
                <w:kern w:val="0"/>
                <w:szCs w:val="21"/>
              </w:rPr>
            </w:pPr>
            <w:r>
              <w:rPr>
                <w:rFonts w:hint="eastAsia" w:ascii="宋体" w:hAnsi="宋体"/>
                <w:kern w:val="0"/>
                <w:szCs w:val="21"/>
              </w:rPr>
              <w:t>40)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外不再计取其他费用。</w:t>
            </w:r>
          </w:p>
          <w:p>
            <w:pPr>
              <w:spacing w:line="440" w:lineRule="exact"/>
              <w:ind w:firstLine="420" w:firstLineChars="200"/>
              <w:jc w:val="left"/>
              <w:rPr>
                <w:rFonts w:ascii="宋体" w:hAnsi="宋体"/>
                <w:kern w:val="0"/>
                <w:szCs w:val="21"/>
              </w:rPr>
            </w:pPr>
            <w:r>
              <w:rPr>
                <w:rFonts w:hint="eastAsia" w:ascii="宋体" w:hAnsi="宋体"/>
                <w:kern w:val="0"/>
                <w:szCs w:val="21"/>
              </w:rPr>
              <w:t>41）智慧工地参照重庆两江新区建设管理局《关于印发两江新区“智慧工地”第二阶段建设工作实施方案的通知》渝两江建发【2018】56号文执行，该费用综合考虑到竞标报价中。</w:t>
            </w:r>
          </w:p>
          <w:p>
            <w:pPr>
              <w:spacing w:line="440" w:lineRule="exact"/>
              <w:ind w:firstLine="420" w:firstLineChars="200"/>
              <w:jc w:val="left"/>
              <w:rPr>
                <w:rFonts w:ascii="宋体" w:hAnsi="宋体"/>
                <w:kern w:val="0"/>
                <w:szCs w:val="21"/>
              </w:rPr>
            </w:pPr>
            <w:r>
              <w:rPr>
                <w:rFonts w:hint="eastAsia" w:ascii="宋体" w:hAnsi="宋体"/>
                <w:kern w:val="0"/>
                <w:szCs w:val="21"/>
              </w:rPr>
              <w:t>42）土石方量依据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pPr>
              <w:snapToGrid w:val="0"/>
              <w:spacing w:line="440" w:lineRule="exact"/>
              <w:ind w:firstLine="413" w:firstLineChars="196"/>
              <w:rPr>
                <w:rFonts w:ascii="宋体" w:hAnsi="宋体" w:cs="MingLiU"/>
                <w:b/>
                <w:bCs/>
                <w:szCs w:val="21"/>
              </w:rPr>
            </w:pPr>
            <w:r>
              <w:rPr>
                <w:rFonts w:hint="eastAsia" w:ascii="宋体" w:hAnsi="宋体" w:cs="MingLiU"/>
                <w:b/>
                <w:bCs/>
                <w:szCs w:val="21"/>
              </w:rPr>
              <w:t>说明:</w:t>
            </w:r>
            <w:r>
              <w:rPr>
                <w:rFonts w:hint="eastAsia" w:ascii="宋体" w:hAnsi="宋体"/>
                <w:szCs w:val="21"/>
              </w:rPr>
              <w:t> </w:t>
            </w:r>
            <w:r>
              <w:rPr>
                <w:rFonts w:hint="eastAsia" w:ascii="宋体" w:hAnsi="宋体" w:cs="MingLiU"/>
                <w:b/>
                <w:bCs/>
                <w:szCs w:val="21"/>
              </w:rPr>
              <w:t>1、场内土石方总体平衡后借土具体位置由比选人在实施时指定，运距暂按施工红线至取土范围边线道路运输距离2公里内考虑，实施时按经建设单位审批的土石方调配方案执行。</w:t>
            </w:r>
          </w:p>
          <w:p>
            <w:pPr>
              <w:snapToGrid w:val="0"/>
              <w:spacing w:line="440" w:lineRule="exact"/>
              <w:ind w:firstLine="413" w:firstLineChars="196"/>
              <w:rPr>
                <w:rFonts w:ascii="宋体" w:hAnsi="宋体" w:cs="MingLiU"/>
                <w:b/>
                <w:bCs/>
                <w:szCs w:val="21"/>
              </w:rPr>
            </w:pPr>
            <w:r>
              <w:rPr>
                <w:rFonts w:hint="eastAsia" w:ascii="宋体" w:hAnsi="宋体" w:cs="MingLiU"/>
                <w:b/>
                <w:bCs/>
                <w:szCs w:val="21"/>
              </w:rPr>
              <w:t>2、爆破方式严格按照设计要求控制性爆破，同时爆破手续需按照公安主管部门及相关行业主管部门审批后方可实施。</w:t>
            </w:r>
          </w:p>
          <w:p>
            <w:pPr>
              <w:snapToGrid w:val="0"/>
              <w:spacing w:line="440" w:lineRule="exact"/>
              <w:ind w:firstLine="413" w:firstLineChars="196"/>
              <w:rPr>
                <w:rFonts w:ascii="宋体" w:hAnsi="宋体" w:cs="MingLiU"/>
                <w:b/>
                <w:bCs/>
                <w:szCs w:val="21"/>
              </w:rPr>
            </w:pPr>
            <w:r>
              <w:rPr>
                <w:rFonts w:hint="eastAsia" w:ascii="宋体" w:hAnsi="宋体" w:cs="MingLiU"/>
                <w:b/>
                <w:bCs/>
                <w:szCs w:val="21"/>
              </w:rPr>
              <w:t>3、竞标人在进行取土时，应自行考虑交通组织方案及已建成道路成品保护，并做好相应的保护措施，竞标时将该费用考虑到综合报价中；路灯灯杆样式参照园区已建成道路灯杆样式，并须符合设计要求，实施前需报比选人确认之后方可实施。</w:t>
            </w:r>
          </w:p>
          <w:p>
            <w:pPr>
              <w:snapToGrid w:val="0"/>
              <w:spacing w:line="440" w:lineRule="exact"/>
              <w:ind w:firstLine="413" w:firstLineChars="196"/>
              <w:rPr>
                <w:rFonts w:ascii="宋体" w:hAnsi="宋体" w:cs="MingLiU"/>
                <w:b/>
                <w:bCs/>
              </w:rPr>
            </w:pPr>
            <w:r>
              <w:rPr>
                <w:rFonts w:hint="eastAsia" w:ascii="宋体" w:hAnsi="宋体" w:cs="MingLiU"/>
                <w:b/>
                <w:bCs/>
                <w:szCs w:val="21"/>
              </w:rPr>
              <w:t>4、苗木的养护期为2年。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竞标有效期</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szCs w:val="21"/>
              </w:rPr>
            </w:pPr>
            <w:r>
              <w:rPr>
                <w:rFonts w:hint="eastAsia" w:ascii="宋体" w:hAnsi="宋体" w:cs="宋体"/>
                <w:szCs w:val="21"/>
              </w:rPr>
              <w:t>90日历天（从递交竞标文件截止日起计算）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kern w:val="0"/>
                <w:szCs w:val="21"/>
              </w:rPr>
              <w:t>竞标</w:t>
            </w:r>
            <w:r>
              <w:rPr>
                <w:rFonts w:hint="eastAsia" w:ascii="宋体" w:hAnsi="宋体" w:cs="宋体"/>
                <w:szCs w:val="21"/>
              </w:rPr>
              <w:t>保证金</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ind w:firstLine="420"/>
              <w:rPr>
                <w:rFonts w:ascii="宋体" w:hAnsi="宋体" w:cs="宋体"/>
                <w:szCs w:val="21"/>
              </w:rPr>
            </w:pPr>
            <w:r>
              <w:rPr>
                <w:rFonts w:hint="eastAsia" w:ascii="宋体" w:hAnsi="宋体" w:cs="宋体"/>
                <w:szCs w:val="21"/>
              </w:rPr>
              <w:t xml:space="preserve">1. </w:t>
            </w:r>
            <w:r>
              <w:rPr>
                <w:rFonts w:hint="eastAsia" w:ascii="宋体" w:hAnsi="宋体"/>
                <w:kern w:val="0"/>
                <w:szCs w:val="21"/>
              </w:rPr>
              <w:t>竞标</w:t>
            </w:r>
            <w:r>
              <w:rPr>
                <w:rFonts w:hint="eastAsia" w:ascii="宋体" w:hAnsi="宋体" w:cs="宋体"/>
                <w:szCs w:val="21"/>
              </w:rPr>
              <w:t>保证金的金额</w:t>
            </w:r>
          </w:p>
          <w:p>
            <w:pPr>
              <w:snapToGrid w:val="0"/>
              <w:spacing w:line="480" w:lineRule="auto"/>
              <w:ind w:firstLine="420"/>
              <w:rPr>
                <w:rFonts w:ascii="宋体" w:hAnsi="宋体" w:cs="宋体"/>
                <w:szCs w:val="21"/>
              </w:rPr>
            </w:pPr>
            <w:r>
              <w:rPr>
                <w:rFonts w:hint="eastAsia" w:ascii="宋体" w:hAnsi="宋体" w:cs="宋体"/>
                <w:szCs w:val="21"/>
              </w:rPr>
              <w:t>本工程要求竞标人提交</w:t>
            </w:r>
            <w:r>
              <w:rPr>
                <w:rFonts w:hint="eastAsia" w:ascii="宋体" w:hAnsi="宋体"/>
                <w:kern w:val="0"/>
                <w:szCs w:val="21"/>
              </w:rPr>
              <w:t>竞标</w:t>
            </w:r>
            <w:r>
              <w:rPr>
                <w:rFonts w:hint="eastAsia" w:ascii="宋体" w:hAnsi="宋体" w:cs="宋体"/>
                <w:szCs w:val="21"/>
              </w:rPr>
              <w:t>保证金：人民币</w:t>
            </w:r>
            <w:r>
              <w:rPr>
                <w:rFonts w:ascii="宋体" w:hAnsi="宋体" w:cs="宋体"/>
                <w:szCs w:val="21"/>
                <w:u w:val="single"/>
              </w:rPr>
              <w:t>4</w:t>
            </w:r>
            <w:r>
              <w:rPr>
                <w:rFonts w:hint="eastAsia" w:ascii="宋体" w:hAnsi="宋体" w:cs="宋体"/>
                <w:szCs w:val="21"/>
                <w:u w:val="single"/>
              </w:rPr>
              <w:t>0000元</w:t>
            </w:r>
            <w:r>
              <w:rPr>
                <w:rFonts w:hint="eastAsia" w:ascii="宋体" w:hAnsi="宋体" w:cs="宋体"/>
                <w:szCs w:val="21"/>
              </w:rPr>
              <w:t>（大写：肆万元）。</w:t>
            </w:r>
          </w:p>
          <w:p>
            <w:pPr>
              <w:snapToGrid w:val="0"/>
              <w:spacing w:line="480" w:lineRule="auto"/>
              <w:ind w:firstLine="420"/>
              <w:rPr>
                <w:rFonts w:ascii="宋体" w:hAnsi="宋体" w:cs="宋体"/>
                <w:szCs w:val="21"/>
              </w:rPr>
            </w:pPr>
            <w:r>
              <w:rPr>
                <w:rFonts w:hint="eastAsia" w:ascii="宋体" w:hAnsi="宋体" w:cs="宋体"/>
                <w:szCs w:val="21"/>
              </w:rPr>
              <w:t xml:space="preserve">2. </w:t>
            </w:r>
            <w:r>
              <w:rPr>
                <w:rFonts w:hint="eastAsia" w:ascii="宋体" w:hAnsi="宋体"/>
                <w:kern w:val="0"/>
                <w:szCs w:val="21"/>
              </w:rPr>
              <w:t>竞标</w:t>
            </w:r>
            <w:r>
              <w:rPr>
                <w:rFonts w:hint="eastAsia" w:ascii="宋体" w:hAnsi="宋体" w:cs="宋体"/>
                <w:szCs w:val="21"/>
              </w:rPr>
              <w:t>保证金递交时间：递交竞标文件的同时向比选人递交</w:t>
            </w:r>
            <w:r>
              <w:rPr>
                <w:rFonts w:hint="eastAsia" w:ascii="宋体" w:hAnsi="宋体"/>
                <w:kern w:val="0"/>
                <w:szCs w:val="21"/>
              </w:rPr>
              <w:t>竞标</w:t>
            </w:r>
            <w:r>
              <w:rPr>
                <w:rFonts w:hint="eastAsia" w:ascii="宋体" w:hAnsi="宋体" w:cs="宋体"/>
                <w:szCs w:val="21"/>
              </w:rPr>
              <w:t>保证金。</w:t>
            </w:r>
          </w:p>
          <w:p>
            <w:pPr>
              <w:snapToGrid w:val="0"/>
              <w:spacing w:line="480" w:lineRule="auto"/>
              <w:ind w:firstLine="420"/>
              <w:rPr>
                <w:rFonts w:ascii="宋体" w:hAnsi="宋体" w:cs="宋体"/>
                <w:szCs w:val="21"/>
              </w:rPr>
            </w:pPr>
            <w:r>
              <w:rPr>
                <w:rFonts w:hint="eastAsia" w:ascii="宋体" w:hAnsi="宋体" w:cs="宋体"/>
                <w:szCs w:val="21"/>
              </w:rPr>
              <w:t xml:space="preserve">3. </w:t>
            </w:r>
            <w:r>
              <w:rPr>
                <w:rFonts w:hint="eastAsia" w:ascii="宋体" w:hAnsi="宋体"/>
                <w:kern w:val="0"/>
                <w:szCs w:val="21"/>
              </w:rPr>
              <w:t>竞标</w:t>
            </w:r>
            <w:r>
              <w:rPr>
                <w:rFonts w:hint="eastAsia" w:ascii="宋体" w:hAnsi="宋体" w:cs="宋体"/>
                <w:szCs w:val="21"/>
              </w:rPr>
              <w:t>保证金的缴纳形式：各竞标人将</w:t>
            </w:r>
            <w:r>
              <w:rPr>
                <w:rFonts w:hint="eastAsia" w:ascii="宋体" w:hAnsi="宋体"/>
                <w:kern w:val="0"/>
                <w:szCs w:val="21"/>
              </w:rPr>
              <w:t>竞标</w:t>
            </w:r>
            <w:r>
              <w:rPr>
                <w:rFonts w:hint="eastAsia" w:ascii="宋体" w:hAnsi="宋体" w:cs="宋体"/>
                <w:szCs w:val="21"/>
              </w:rPr>
              <w:t>保证金(现金)自行密封并注明项目名称、竞标人名称、联系人、联系电话后加盖竞标人单位公章。</w:t>
            </w:r>
          </w:p>
          <w:p>
            <w:pPr>
              <w:snapToGrid w:val="0"/>
              <w:spacing w:line="480" w:lineRule="auto"/>
              <w:ind w:firstLine="420"/>
              <w:rPr>
                <w:rFonts w:ascii="宋体" w:hAnsi="宋体" w:cs="宋体"/>
                <w:szCs w:val="21"/>
              </w:rPr>
            </w:pPr>
            <w:r>
              <w:rPr>
                <w:rFonts w:hint="eastAsia" w:ascii="宋体" w:hAnsi="宋体" w:cs="宋体"/>
                <w:szCs w:val="21"/>
              </w:rPr>
              <w:t>4.特别提示</w:t>
            </w:r>
          </w:p>
          <w:p>
            <w:pPr>
              <w:adjustRightInd w:val="0"/>
              <w:snapToGrid w:val="0"/>
              <w:spacing w:line="480" w:lineRule="auto"/>
              <w:ind w:firstLine="420" w:firstLineChars="200"/>
              <w:rPr>
                <w:rFonts w:ascii="宋体" w:hAnsi="宋体" w:cs="宋体"/>
                <w:szCs w:val="21"/>
              </w:rPr>
            </w:pPr>
            <w:r>
              <w:rPr>
                <w:rFonts w:hint="eastAsia" w:ascii="宋体" w:hAnsi="宋体" w:cs="宋体"/>
                <w:szCs w:val="21"/>
              </w:rPr>
              <w:t>评选结束后，比选人将退还除中标候选人以外的竞标人的</w:t>
            </w:r>
            <w:r>
              <w:rPr>
                <w:rFonts w:hint="eastAsia" w:ascii="宋体" w:hAnsi="宋体"/>
                <w:kern w:val="0"/>
                <w:szCs w:val="21"/>
              </w:rPr>
              <w:t>竞标</w:t>
            </w:r>
            <w:r>
              <w:rPr>
                <w:rFonts w:hint="eastAsia" w:ascii="宋体" w:hAnsi="宋体" w:cs="宋体"/>
                <w:szCs w:val="21"/>
              </w:rPr>
              <w:t>保证金，合同签订后无息退还中标人及中标候选人的</w:t>
            </w:r>
            <w:r>
              <w:rPr>
                <w:rFonts w:hint="eastAsia" w:ascii="宋体" w:hAnsi="宋体"/>
                <w:kern w:val="0"/>
                <w:szCs w:val="21"/>
              </w:rPr>
              <w:t>竞标</w:t>
            </w:r>
            <w:r>
              <w:rPr>
                <w:rFonts w:hint="eastAsia" w:ascii="宋体" w:hAnsi="宋体" w:cs="宋体"/>
                <w:szCs w:val="21"/>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资格审查资料</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rPr>
            </w:pPr>
            <w:r>
              <w:rPr>
                <w:rFonts w:hint="eastAsia" w:ascii="宋体" w:hAnsi="宋体" w:cs="宋体"/>
              </w:rPr>
              <w:t>详见本表第1.4.1项“竞标人的资格条件”中的内容。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kern w:val="0"/>
                <w:szCs w:val="21"/>
              </w:rPr>
              <w:t>3.5.</w:t>
            </w:r>
            <w:r>
              <w:rPr>
                <w:rFonts w:hint="eastAsia" w:ascii="宋体" w:hAnsi="宋体"/>
                <w:kern w:val="0"/>
                <w:szCs w:val="21"/>
              </w:rPr>
              <w:t>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r>
              <w:rPr>
                <w:rFonts w:ascii="宋体" w:hAnsi="宋体"/>
                <w:kern w:val="0"/>
                <w:szCs w:val="21"/>
              </w:rPr>
              <w:t>近年完成的</w:t>
            </w:r>
          </w:p>
          <w:p>
            <w:pPr>
              <w:snapToGrid w:val="0"/>
              <w:spacing w:line="400" w:lineRule="exact"/>
              <w:jc w:val="center"/>
              <w:rPr>
                <w:rFonts w:ascii="宋体" w:hAnsi="宋体"/>
                <w:kern w:val="0"/>
                <w:szCs w:val="21"/>
              </w:rPr>
            </w:pPr>
            <w:r>
              <w:rPr>
                <w:rFonts w:ascii="宋体" w:hAnsi="宋体"/>
                <w:kern w:val="0"/>
                <w:szCs w:val="21"/>
              </w:rPr>
              <w:t>类似项目的</w:t>
            </w:r>
          </w:p>
          <w:p>
            <w:pPr>
              <w:snapToGrid w:val="0"/>
              <w:spacing w:afterLines="30" w:line="400" w:lineRule="exact"/>
              <w:jc w:val="center"/>
              <w:rPr>
                <w:rFonts w:ascii="宋体" w:hAnsi="宋体" w:cs="宋体"/>
                <w:szCs w:val="21"/>
              </w:rPr>
            </w:pPr>
            <w:r>
              <w:rPr>
                <w:rFonts w:ascii="宋体" w:hAnsi="宋体"/>
                <w:kern w:val="0"/>
                <w:szCs w:val="21"/>
              </w:rPr>
              <w:t>年份要求</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cs="宋体"/>
              </w:rPr>
            </w:pPr>
            <w:r>
              <w:rPr>
                <w:rFonts w:hint="eastAsia" w:ascii="宋体" w:hAnsi="宋体"/>
                <w:kern w:val="0"/>
                <w:szCs w:val="21"/>
              </w:rPr>
              <w:t>竞标</w:t>
            </w:r>
            <w:r>
              <w:rPr>
                <w:rFonts w:ascii="宋体" w:hAnsi="宋体"/>
                <w:kern w:val="0"/>
                <w:szCs w:val="21"/>
              </w:rPr>
              <w:t>截止</w:t>
            </w:r>
            <w:r>
              <w:rPr>
                <w:rFonts w:hint="eastAsia" w:ascii="宋体" w:hAnsi="宋体"/>
                <w:kern w:val="0"/>
                <w:szCs w:val="21"/>
              </w:rPr>
              <w:t>日</w:t>
            </w:r>
            <w:r>
              <w:rPr>
                <w:rFonts w:ascii="宋体" w:hAnsi="宋体"/>
                <w:kern w:val="0"/>
                <w:szCs w:val="21"/>
              </w:rPr>
              <w:t>前</w:t>
            </w:r>
            <w:r>
              <w:rPr>
                <w:rFonts w:hint="eastAsia" w:ascii="宋体" w:hAnsi="宋体"/>
                <w:szCs w:val="21"/>
              </w:rPr>
              <w:t>□3</w:t>
            </w:r>
            <w:r>
              <w:rPr>
                <w:rFonts w:hint="eastAsia" w:ascii="宋体" w:hAnsi="宋体"/>
                <w:szCs w:val="21"/>
              </w:rPr>
              <w:sym w:font="Wingdings" w:char="F0FE"/>
            </w:r>
            <w:r>
              <w:rPr>
                <w:rFonts w:hint="eastAsia" w:ascii="宋体" w:hAnsi="宋体"/>
                <w:szCs w:val="21"/>
              </w:rPr>
              <w:t>5□8</w:t>
            </w:r>
            <w:r>
              <w:rPr>
                <w:rFonts w:ascii="宋体" w:hAnsi="宋体"/>
                <w:szCs w:val="21"/>
              </w:rPr>
              <w:t>年内</w:t>
            </w:r>
            <w:r>
              <w:rPr>
                <w:rFonts w:ascii="宋体" w:hAnsi="宋体"/>
                <w:kern w:val="0"/>
                <w:szCs w:val="21"/>
              </w:rPr>
              <w:t>，指</w:t>
            </w:r>
            <w:r>
              <w:rPr>
                <w:rFonts w:ascii="宋体" w:hAnsi="宋体"/>
                <w:kern w:val="0"/>
                <w:szCs w:val="21"/>
                <w:u w:val="single"/>
              </w:rPr>
              <w:t>201</w:t>
            </w:r>
            <w:r>
              <w:rPr>
                <w:rFonts w:hint="eastAsia" w:ascii="宋体" w:hAnsi="宋体"/>
                <w:kern w:val="0"/>
                <w:szCs w:val="21"/>
                <w:u w:val="single"/>
              </w:rPr>
              <w:t>6</w:t>
            </w:r>
            <w:r>
              <w:rPr>
                <w:rFonts w:ascii="宋体" w:hAnsi="宋体"/>
                <w:kern w:val="0"/>
                <w:szCs w:val="21"/>
              </w:rPr>
              <w:t>年</w:t>
            </w:r>
            <w:r>
              <w:rPr>
                <w:rFonts w:hint="eastAsia" w:ascii="宋体" w:hAnsi="宋体"/>
                <w:kern w:val="0"/>
                <w:szCs w:val="21"/>
                <w:u w:val="single"/>
              </w:rPr>
              <w:t>1</w:t>
            </w:r>
            <w:r>
              <w:rPr>
                <w:rFonts w:hint="eastAsia" w:ascii="宋体" w:hAnsi="宋体"/>
                <w:kern w:val="0"/>
                <w:szCs w:val="21"/>
              </w:rPr>
              <w:t>月</w:t>
            </w:r>
            <w:r>
              <w:rPr>
                <w:rFonts w:hint="eastAsia" w:ascii="宋体" w:hAnsi="宋体"/>
                <w:kern w:val="0"/>
                <w:szCs w:val="21"/>
                <w:u w:val="single"/>
              </w:rPr>
              <w:t>1</w:t>
            </w:r>
            <w:r>
              <w:rPr>
                <w:rFonts w:hint="eastAsia" w:ascii="宋体" w:hAnsi="宋体"/>
                <w:kern w:val="0"/>
                <w:szCs w:val="21"/>
              </w:rPr>
              <w:t>日</w:t>
            </w:r>
            <w:r>
              <w:rPr>
                <w:rFonts w:ascii="宋体" w:hAnsi="宋体"/>
                <w:kern w:val="0"/>
                <w:szCs w:val="21"/>
              </w:rPr>
              <w:t>起至</w:t>
            </w:r>
            <w:r>
              <w:rPr>
                <w:rFonts w:hint="eastAsia" w:ascii="宋体" w:hAnsi="宋体"/>
                <w:kern w:val="0"/>
                <w:szCs w:val="21"/>
              </w:rPr>
              <w:t>竞标截止日止</w:t>
            </w:r>
            <w:r>
              <w:rPr>
                <w:rFonts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是否允许递交备选竞标方案</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rPr>
            </w:pP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3.7.3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签字盖章要求</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rPr>
            </w:pPr>
            <w:r>
              <w:rPr>
                <w:rFonts w:hint="eastAsia" w:ascii="宋体" w:hAnsi="宋体" w:cs="宋体"/>
              </w:rPr>
              <w:t>竞标文件格式上要求签字盖章的地方，必须签字盖章，否则按</w:t>
            </w:r>
            <w:r>
              <w:rPr>
                <w:rFonts w:hint="eastAsia" w:ascii="宋体" w:hAnsi="宋体" w:cs="宋体"/>
                <w:kern w:val="0"/>
              </w:rPr>
              <w:t>否决竞标</w:t>
            </w:r>
            <w:r>
              <w:rPr>
                <w:rFonts w:hint="eastAsia" w:ascii="宋体" w:hAnsi="宋体" w:cs="宋体"/>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3.7.4</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竞标文件份数</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315" w:firstLineChars="150"/>
              <w:rPr>
                <w:rFonts w:ascii="宋体" w:hAnsi="宋体"/>
              </w:rPr>
            </w:pPr>
            <w:r>
              <w:rPr>
                <w:rFonts w:hint="eastAsia" w:ascii="宋体" w:hAnsi="宋体"/>
                <w:kern w:val="0"/>
                <w:szCs w:val="21"/>
              </w:rPr>
              <w:t>1、竞标</w:t>
            </w:r>
            <w:r>
              <w:rPr>
                <w:rFonts w:hint="eastAsia" w:ascii="宋体" w:hAnsi="宋体"/>
              </w:rPr>
              <w:t>函部分：正本一份，副本两份；</w:t>
            </w:r>
          </w:p>
          <w:p>
            <w:pPr>
              <w:snapToGrid w:val="0"/>
              <w:spacing w:line="360" w:lineRule="auto"/>
              <w:ind w:firstLine="315" w:firstLineChars="150"/>
              <w:rPr>
                <w:rFonts w:ascii="宋体" w:hAnsi="宋体"/>
              </w:rPr>
            </w:pPr>
            <w:r>
              <w:rPr>
                <w:rFonts w:hint="eastAsia" w:ascii="宋体" w:hAnsi="宋体"/>
              </w:rPr>
              <w:t>2、商务部分：正本一份，副本两份；</w:t>
            </w:r>
          </w:p>
          <w:p>
            <w:pPr>
              <w:snapToGrid w:val="0"/>
              <w:spacing w:line="360" w:lineRule="auto"/>
              <w:ind w:firstLine="315" w:firstLineChars="150"/>
              <w:rPr>
                <w:rFonts w:ascii="宋体" w:hAnsi="宋体"/>
              </w:rPr>
            </w:pPr>
            <w:r>
              <w:rPr>
                <w:rFonts w:hint="eastAsia" w:ascii="宋体" w:hAnsi="宋体"/>
                <w:szCs w:val="21"/>
              </w:rPr>
              <w:t>3、资格审查部分</w:t>
            </w:r>
            <w:r>
              <w:rPr>
                <w:rFonts w:hint="eastAsia" w:ascii="宋体" w:hAnsi="宋体"/>
              </w:rPr>
              <w:t>：正本一份，副本两份；</w:t>
            </w:r>
          </w:p>
          <w:p>
            <w:pPr>
              <w:snapToGrid w:val="0"/>
              <w:spacing w:line="360" w:lineRule="auto"/>
              <w:ind w:firstLine="315" w:firstLineChars="150"/>
              <w:rPr>
                <w:rFonts w:ascii="宋体" w:hAnsi="宋体"/>
              </w:rPr>
            </w:pPr>
            <w:r>
              <w:rPr>
                <w:rFonts w:hint="eastAsia" w:ascii="宋体" w:hAnsi="宋体"/>
              </w:rPr>
              <w:t>4、含所有竞标文件的电子文件（光盘）2份（注明竞标单位名称和项目名称，并加盖竞标人单位公章）。</w:t>
            </w:r>
          </w:p>
          <w:p>
            <w:pPr>
              <w:pStyle w:val="2"/>
              <w:ind w:right="-21" w:firstLine="210"/>
              <w:rPr>
                <w:rFonts w:ascii="宋体" w:hAnsi="宋体"/>
              </w:rPr>
            </w:pPr>
            <w:r>
              <w:rPr>
                <w:rFonts w:hint="eastAsia" w:ascii="宋体" w:hAnsi="宋体"/>
              </w:rPr>
              <w:t>注：电子版应与纸质版竞标文件内容一致。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3.7.5</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装订要求</w:t>
            </w:r>
          </w:p>
        </w:tc>
        <w:tc>
          <w:tcPr>
            <w:tcW w:w="7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ascii="宋体" w:hAnsi="宋体"/>
              </w:rPr>
            </w:pPr>
            <w:r>
              <w:rPr>
                <w:rFonts w:hint="eastAsia" w:ascii="宋体" w:hAnsi="宋体"/>
              </w:rPr>
              <w:t>（1）</w:t>
            </w:r>
            <w:r>
              <w:rPr>
                <w:rFonts w:hint="eastAsia" w:ascii="宋体" w:hAnsi="宋体"/>
                <w:kern w:val="0"/>
                <w:szCs w:val="21"/>
              </w:rPr>
              <w:t>竞标</w:t>
            </w:r>
            <w:r>
              <w:rPr>
                <w:rFonts w:hint="eastAsia" w:ascii="宋体" w:hAnsi="宋体"/>
              </w:rPr>
              <w:t>函部分</w:t>
            </w:r>
          </w:p>
          <w:p>
            <w:pPr>
              <w:spacing w:line="400" w:lineRule="exact"/>
              <w:ind w:firstLine="315" w:firstLineChars="15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（2）商务部分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（3）资格审查部分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utoSpaceDE w:val="0"/>
              <w:autoSpaceDN w:val="0"/>
              <w:adjustRightInd w:val="0"/>
              <w:spacing w:before="73" w:line="360" w:lineRule="auto"/>
              <w:ind w:firstLine="420" w:firstLineChars="200"/>
              <w:jc w:val="left"/>
              <w:rPr>
                <w:rFonts w:ascii="宋体" w:hAnsi="宋体"/>
              </w:rPr>
            </w:pPr>
            <w:r>
              <w:rPr>
                <w:rFonts w:hint="eastAsia" w:ascii="宋体" w:hAnsi="宋体"/>
              </w:rPr>
              <w:t>注：1、</w:t>
            </w:r>
            <w:r>
              <w:rPr>
                <w:rFonts w:hint="eastAsia" w:ascii="宋体" w:hAnsi="宋体"/>
                <w:kern w:val="0"/>
                <w:szCs w:val="21"/>
              </w:rPr>
              <w:t>竞标</w:t>
            </w:r>
            <w:r>
              <w:rPr>
                <w:rFonts w:hint="eastAsia" w:ascii="宋体" w:hAnsi="宋体"/>
              </w:rPr>
              <w:t>函部分、商务部分、</w:t>
            </w:r>
            <w:r>
              <w:rPr>
                <w:rFonts w:hint="eastAsia" w:ascii="宋体" w:hAnsi="宋体"/>
                <w:szCs w:val="21"/>
              </w:rPr>
              <w:t>资格审查部分</w:t>
            </w:r>
            <w:r>
              <w:rPr>
                <w:rFonts w:hint="eastAsia" w:ascii="宋体" w:hAnsi="宋体"/>
              </w:rPr>
              <w:t>等各部分竞标文件由竞标人自行分别装订成册。</w:t>
            </w:r>
          </w:p>
          <w:p>
            <w:pPr>
              <w:adjustRightInd w:val="0"/>
              <w:snapToGrid w:val="0"/>
              <w:spacing w:line="440" w:lineRule="exact"/>
              <w:ind w:firstLine="420" w:firstLineChars="200"/>
              <w:rPr>
                <w:rFonts w:ascii="宋体" w:hAnsi="宋体"/>
              </w:rPr>
            </w:pPr>
            <w:r>
              <w:rPr>
                <w:rFonts w:hint="eastAsia" w:ascii="宋体" w:hAnsi="宋体"/>
              </w:rPr>
              <w:t>2、所有竞标文件不论使用任何方式进行装订，必须保证竞标文件装订牢固，否则，比选人对由于竞标文件装订松散而造成的丢失或其他后果不承担任何责任。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4.1.1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竞标文件的密封</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2" w:firstLineChars="201"/>
              <w:rPr>
                <w:rFonts w:ascii="宋体" w:hAnsi="宋体"/>
              </w:rPr>
            </w:pPr>
            <w:r>
              <w:rPr>
                <w:rFonts w:hint="eastAsia" w:ascii="宋体" w:hAnsi="宋体"/>
              </w:rPr>
              <w:t>1. 竞标文件袋用 “</w:t>
            </w:r>
            <w:r>
              <w:rPr>
                <w:rFonts w:hint="eastAsia" w:ascii="宋体" w:hAnsi="宋体"/>
                <w:kern w:val="0"/>
                <w:szCs w:val="21"/>
              </w:rPr>
              <w:t>竞标</w:t>
            </w:r>
            <w:r>
              <w:rPr>
                <w:rFonts w:hint="eastAsia" w:ascii="宋体" w:hAnsi="宋体"/>
              </w:rPr>
              <w:t>函部分”袋、“商务部分”袋、“资格审查资料”</w:t>
            </w:r>
            <w:r>
              <w:rPr>
                <w:rFonts w:hint="eastAsia" w:ascii="宋体" w:hAnsi="宋体"/>
                <w:szCs w:val="21"/>
              </w:rPr>
              <w:t xml:space="preserve"> </w:t>
            </w:r>
            <w:r>
              <w:rPr>
                <w:rFonts w:hint="eastAsia" w:ascii="宋体" w:hAnsi="宋体"/>
              </w:rPr>
              <w:t>袋以及“竞标文件”大袋，竞标文件袋由竞标人自备。</w:t>
            </w:r>
          </w:p>
          <w:p>
            <w:pPr>
              <w:spacing w:line="460" w:lineRule="exact"/>
              <w:ind w:firstLine="420" w:firstLineChars="200"/>
              <w:rPr>
                <w:rFonts w:ascii="宋体" w:hAnsi="宋体"/>
              </w:rPr>
            </w:pPr>
            <w:r>
              <w:rPr>
                <w:rFonts w:hint="eastAsia" w:ascii="宋体" w:hAnsi="宋体"/>
              </w:rPr>
              <w:t>2.</w:t>
            </w:r>
            <w:r>
              <w:rPr>
                <w:rFonts w:hint="eastAsia" w:ascii="宋体" w:hAnsi="宋体"/>
                <w:kern w:val="0"/>
                <w:szCs w:val="21"/>
              </w:rPr>
              <w:t xml:space="preserve"> 竞标</w:t>
            </w:r>
            <w:r>
              <w:rPr>
                <w:rFonts w:hint="eastAsia" w:ascii="宋体" w:hAnsi="宋体"/>
              </w:rPr>
              <w:t>函部分（含电子文件）装入“</w:t>
            </w:r>
            <w:r>
              <w:rPr>
                <w:rFonts w:hint="eastAsia" w:ascii="宋体" w:hAnsi="宋体"/>
                <w:kern w:val="0"/>
                <w:szCs w:val="21"/>
              </w:rPr>
              <w:t>竞标</w:t>
            </w:r>
            <w:r>
              <w:rPr>
                <w:rFonts w:hint="eastAsia" w:ascii="宋体" w:hAnsi="宋体"/>
              </w:rPr>
              <w:t>函部分”袋中，密封并在袋上加盖竞标人单位公章。</w:t>
            </w:r>
          </w:p>
          <w:p>
            <w:pPr>
              <w:spacing w:line="460" w:lineRule="exact"/>
              <w:ind w:firstLine="420" w:firstLineChars="200"/>
              <w:rPr>
                <w:rFonts w:ascii="宋体" w:hAnsi="宋体"/>
              </w:rPr>
            </w:pPr>
            <w:r>
              <w:rPr>
                <w:rFonts w:hint="eastAsia" w:ascii="宋体" w:hAnsi="宋体"/>
              </w:rPr>
              <w:t>3.商务部分装入“商务部分”袋中，密封并在袋上加盖竞标人单位公章。</w:t>
            </w:r>
          </w:p>
          <w:p>
            <w:pPr>
              <w:spacing w:line="460" w:lineRule="exact"/>
              <w:ind w:firstLine="422" w:firstLineChars="201"/>
              <w:rPr>
                <w:rFonts w:ascii="宋体" w:hAnsi="宋体"/>
              </w:rPr>
            </w:pPr>
            <w:r>
              <w:rPr>
                <w:rFonts w:hint="eastAsia" w:ascii="宋体" w:hAnsi="宋体"/>
              </w:rPr>
              <w:t>4. “</w:t>
            </w:r>
            <w:r>
              <w:rPr>
                <w:rFonts w:hint="eastAsia" w:ascii="宋体" w:hAnsi="宋体"/>
                <w:kern w:val="0"/>
                <w:szCs w:val="21"/>
              </w:rPr>
              <w:t>竞标</w:t>
            </w:r>
            <w:r>
              <w:rPr>
                <w:rFonts w:hint="eastAsia" w:ascii="宋体" w:hAnsi="宋体"/>
              </w:rPr>
              <w:t>函部分”袋、“商务部分”袋、等小袋装入“竞标文件”大袋中，密封并在大袋上加盖竞标人单位公章，同时“竞标文件”大袋应按本表第4.1.2项的规定写明相应内容。</w:t>
            </w:r>
          </w:p>
          <w:p>
            <w:pPr>
              <w:spacing w:line="460" w:lineRule="exact"/>
              <w:ind w:firstLine="422" w:firstLineChars="201"/>
              <w:rPr>
                <w:rFonts w:ascii="宋体" w:hAnsi="宋体"/>
              </w:rPr>
            </w:pPr>
            <w:r>
              <w:rPr>
                <w:rFonts w:ascii="宋体" w:hAnsi="宋体"/>
              </w:rPr>
              <w:t>5.</w:t>
            </w:r>
            <w:r>
              <w:rPr>
                <w:rFonts w:hint="eastAsia" w:ascii="宋体" w:hAnsi="宋体"/>
              </w:rPr>
              <w:t xml:space="preserve"> “资格审查资料”单独封装，密封并在大袋上加盖竞标人单位公章，同时应按本表第4.1.2项的规定写明相应内容。</w:t>
            </w:r>
          </w:p>
          <w:p>
            <w:pPr>
              <w:autoSpaceDE w:val="0"/>
              <w:autoSpaceDN w:val="0"/>
              <w:adjustRightInd w:val="0"/>
              <w:spacing w:line="460" w:lineRule="exact"/>
              <w:ind w:firstLine="420" w:firstLineChars="200"/>
              <w:rPr>
                <w:rFonts w:ascii="宋体" w:hAnsi="宋体"/>
              </w:rPr>
            </w:pPr>
            <w:r>
              <w:rPr>
                <w:rFonts w:hint="eastAsia" w:ascii="宋体" w:hAnsi="宋体"/>
              </w:rPr>
              <w:t>6.如果“竞标文件”大袋和“资格审查资料”袋未按上述规定封装，比选人或比选代理机构应当拒绝接收。</w:t>
            </w:r>
          </w:p>
          <w:p>
            <w:pPr>
              <w:spacing w:line="460" w:lineRule="exact"/>
              <w:ind w:firstLine="422" w:firstLineChars="201"/>
              <w:rPr>
                <w:rFonts w:ascii="宋体" w:hAnsi="宋体"/>
              </w:rPr>
            </w:pPr>
            <w:r>
              <w:rPr>
                <w:rFonts w:hint="eastAsia" w:ascii="宋体" w:hAnsi="宋体"/>
              </w:rPr>
              <w:t>注：“</w:t>
            </w:r>
            <w:r>
              <w:rPr>
                <w:rFonts w:hint="eastAsia" w:ascii="宋体" w:hAnsi="宋体"/>
                <w:kern w:val="0"/>
                <w:szCs w:val="21"/>
              </w:rPr>
              <w:t>竞标</w:t>
            </w:r>
            <w:r>
              <w:rPr>
                <w:rFonts w:hint="eastAsia" w:ascii="宋体" w:hAnsi="宋体"/>
              </w:rPr>
              <w:t>函部分”袋、“商务部分”袋只做封装使用，不作为判定密封合格与否的条件。但为了方便开标，请各竞标人主动配合，按要求封装。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4.1.2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封套上写明</w:t>
            </w:r>
          </w:p>
        </w:tc>
        <w:tc>
          <w:tcPr>
            <w:tcW w:w="7143" w:type="dxa"/>
            <w:tcBorders>
              <w:top w:val="single" w:color="auto" w:sz="4" w:space="0"/>
              <w:left w:val="single" w:color="auto" w:sz="4" w:space="0"/>
              <w:bottom w:val="single" w:color="auto" w:sz="4" w:space="0"/>
              <w:right w:val="single" w:color="auto" w:sz="4" w:space="0"/>
            </w:tcBorders>
            <w:vAlign w:val="center"/>
          </w:tcPr>
          <w:p>
            <w:pPr>
              <w:tabs>
                <w:tab w:val="left" w:pos="1240"/>
              </w:tabs>
              <w:autoSpaceDE w:val="0"/>
              <w:autoSpaceDN w:val="0"/>
              <w:adjustRightInd w:val="0"/>
              <w:spacing w:before="73" w:line="360" w:lineRule="auto"/>
              <w:ind w:firstLine="420" w:firstLineChars="200"/>
              <w:jc w:val="left"/>
              <w:rPr>
                <w:rFonts w:ascii="宋体" w:hAnsi="宋体" w:cs="宋体"/>
              </w:rPr>
            </w:pPr>
            <w:r>
              <w:rPr>
                <w:rFonts w:hint="eastAsia" w:ascii="宋体" w:hAnsi="宋体" w:cs="宋体"/>
                <w:kern w:val="0"/>
                <w:szCs w:val="21"/>
              </w:rPr>
              <w:t>应在“竞标文件”大袋和“资格审查资料”袋封套上写明如下内</w:t>
            </w:r>
            <w:r>
              <w:rPr>
                <w:rFonts w:hint="eastAsia" w:ascii="宋体" w:hAnsi="宋体" w:cs="宋体"/>
              </w:rPr>
              <w:t>容：</w:t>
            </w:r>
          </w:p>
          <w:p>
            <w:pPr>
              <w:tabs>
                <w:tab w:val="left" w:pos="1240"/>
              </w:tabs>
              <w:autoSpaceDE w:val="0"/>
              <w:autoSpaceDN w:val="0"/>
              <w:adjustRightInd w:val="0"/>
              <w:spacing w:before="73" w:line="360" w:lineRule="auto"/>
              <w:ind w:firstLine="420" w:firstLineChars="200"/>
              <w:jc w:val="left"/>
              <w:rPr>
                <w:rFonts w:ascii="宋体" w:hAnsi="宋体" w:cs="宋体"/>
                <w:u w:val="single"/>
              </w:rPr>
            </w:pPr>
            <w:r>
              <w:rPr>
                <w:rFonts w:hint="eastAsia" w:ascii="宋体" w:hAnsi="宋体" w:cs="宋体"/>
              </w:rPr>
              <w:t>比选人名称：</w:t>
            </w:r>
            <w:r>
              <w:rPr>
                <w:rFonts w:hint="eastAsia" w:ascii="宋体" w:hAnsi="宋体" w:cs="宋体"/>
                <w:u w:val="single"/>
              </w:rPr>
              <w:t xml:space="preserve">               </w:t>
            </w:r>
          </w:p>
          <w:p>
            <w:pPr>
              <w:tabs>
                <w:tab w:val="left" w:pos="1240"/>
              </w:tabs>
              <w:autoSpaceDE w:val="0"/>
              <w:autoSpaceDN w:val="0"/>
              <w:adjustRightInd w:val="0"/>
              <w:spacing w:before="73" w:line="360" w:lineRule="auto"/>
              <w:ind w:firstLine="420" w:firstLineChars="200"/>
              <w:jc w:val="left"/>
              <w:rPr>
                <w:rFonts w:ascii="宋体" w:hAnsi="宋体" w:cs="宋体"/>
                <w:u w:val="single"/>
              </w:rPr>
            </w:pPr>
            <w:r>
              <w:rPr>
                <w:rFonts w:hint="eastAsia" w:ascii="宋体" w:hAnsi="宋体" w:cs="宋体"/>
              </w:rPr>
              <w:t>竞标人名称：</w:t>
            </w:r>
            <w:r>
              <w:rPr>
                <w:rFonts w:hint="eastAsia" w:ascii="宋体" w:hAnsi="宋体" w:cs="宋体"/>
                <w:u w:val="single"/>
              </w:rPr>
              <w:t xml:space="preserve">               </w:t>
            </w:r>
          </w:p>
          <w:p>
            <w:pPr>
              <w:tabs>
                <w:tab w:val="left" w:pos="1240"/>
              </w:tabs>
              <w:autoSpaceDE w:val="0"/>
              <w:autoSpaceDN w:val="0"/>
              <w:adjustRightInd w:val="0"/>
              <w:spacing w:before="73" w:line="360" w:lineRule="auto"/>
              <w:ind w:firstLine="420" w:firstLineChars="200"/>
              <w:jc w:val="left"/>
              <w:rPr>
                <w:rFonts w:ascii="宋体" w:hAnsi="宋体" w:cs="宋体"/>
              </w:rPr>
            </w:pPr>
            <w:r>
              <w:rPr>
                <w:rFonts w:hint="eastAsia" w:ascii="宋体" w:hAnsi="宋体" w:cs="宋体"/>
                <w:u w:val="single"/>
              </w:rPr>
              <w:t xml:space="preserve">(项目名称)                 </w:t>
            </w:r>
            <w:r>
              <w:rPr>
                <w:rFonts w:hint="eastAsia" w:ascii="宋体" w:hAnsi="宋体" w:cs="宋体"/>
              </w:rPr>
              <w:t>竞标文件</w:t>
            </w:r>
          </w:p>
          <w:p>
            <w:pPr>
              <w:tabs>
                <w:tab w:val="left" w:pos="1240"/>
              </w:tabs>
              <w:autoSpaceDE w:val="0"/>
              <w:autoSpaceDN w:val="0"/>
              <w:adjustRightInd w:val="0"/>
              <w:spacing w:before="73" w:line="360" w:lineRule="auto"/>
              <w:ind w:firstLine="420" w:firstLineChars="200"/>
              <w:jc w:val="left"/>
              <w:rPr>
                <w:rFonts w:ascii="宋体" w:hAnsi="宋体" w:cs="宋体"/>
                <w:szCs w:val="21"/>
              </w:rPr>
            </w:pPr>
            <w:r>
              <w:rPr>
                <w:rFonts w:hint="eastAsia" w:ascii="宋体" w:hAnsi="宋体" w:cs="宋体"/>
                <w:szCs w:val="21"/>
                <w:u w:val="single"/>
              </w:rPr>
              <w:t>在   年  月  日   时   分</w:t>
            </w:r>
            <w:r>
              <w:rPr>
                <w:rFonts w:hint="eastAsia" w:ascii="宋体" w:hAnsi="宋体" w:cs="宋体"/>
                <w:szCs w:val="21"/>
              </w:rPr>
              <w:t>（竞标</w:t>
            </w:r>
            <w:r>
              <w:rPr>
                <w:rFonts w:hint="eastAsia" w:ascii="宋体" w:hAnsi="宋体" w:cs="宋体"/>
              </w:rPr>
              <w:t>截止时间）前不得开启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 xml:space="preserve">4.2.1 </w:t>
            </w: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jc w:val="center"/>
              <w:rPr>
                <w:rFonts w:ascii="宋体" w:hAnsi="宋体" w:cs="宋体"/>
                <w:kern w:val="0"/>
                <w:szCs w:val="21"/>
              </w:rPr>
            </w:pPr>
            <w:r>
              <w:rPr>
                <w:rFonts w:hint="eastAsia" w:ascii="宋体" w:hAnsi="宋体" w:cs="宋体"/>
                <w:kern w:val="0"/>
                <w:szCs w:val="21"/>
              </w:rPr>
              <w:t>竞标文件递交时间及截止时间</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ind w:right="-20" w:firstLine="422" w:firstLineChars="200"/>
              <w:jc w:val="left"/>
              <w:rPr>
                <w:rFonts w:ascii="宋体" w:hAnsi="宋体" w:cs="宋体"/>
                <w:b/>
                <w:kern w:val="0"/>
                <w:szCs w:val="21"/>
              </w:rPr>
            </w:pPr>
            <w:r>
              <w:rPr>
                <w:rFonts w:hint="eastAsia" w:ascii="宋体" w:hAnsi="宋体" w:cs="宋体"/>
                <w:b/>
                <w:kern w:val="0"/>
                <w:szCs w:val="21"/>
              </w:rPr>
              <w:t>递交时间：</w:t>
            </w:r>
            <w:r>
              <w:rPr>
                <w:rFonts w:hint="eastAsia" w:ascii="宋体" w:hAnsi="宋体" w:cs="宋体"/>
                <w:b/>
                <w:szCs w:val="21"/>
                <w:u w:val="single"/>
              </w:rPr>
              <w:t xml:space="preserve">2021年2 月 </w:t>
            </w:r>
            <w:r>
              <w:rPr>
                <w:rFonts w:hint="eastAsia" w:ascii="宋体" w:hAnsi="宋体" w:cs="宋体"/>
                <w:b/>
                <w:szCs w:val="21"/>
                <w:u w:val="single"/>
                <w:lang w:val="en-US" w:eastAsia="zh-CN"/>
              </w:rPr>
              <w:t>7</w:t>
            </w:r>
            <w:r>
              <w:rPr>
                <w:rFonts w:hint="eastAsia" w:ascii="宋体" w:hAnsi="宋体" w:cs="宋体"/>
                <w:b/>
                <w:szCs w:val="21"/>
                <w:u w:val="single"/>
              </w:rPr>
              <w:t xml:space="preserve"> 日</w:t>
            </w:r>
            <w:r>
              <w:rPr>
                <w:rFonts w:hint="eastAsia" w:ascii="宋体" w:hAnsi="宋体" w:cs="宋体"/>
                <w:b/>
                <w:szCs w:val="21"/>
                <w:u w:val="single"/>
                <w:lang w:val="en-US" w:eastAsia="zh-CN"/>
              </w:rPr>
              <w:t xml:space="preserve"> 9</w:t>
            </w:r>
            <w:r>
              <w:rPr>
                <w:rFonts w:hint="eastAsia" w:ascii="宋体" w:hAnsi="宋体" w:cs="宋体"/>
                <w:b/>
                <w:szCs w:val="21"/>
                <w:u w:val="single"/>
              </w:rPr>
              <w:t xml:space="preserve"> 时</w:t>
            </w:r>
            <w:r>
              <w:rPr>
                <w:rFonts w:ascii="宋体" w:hAnsi="宋体" w:cs="宋体"/>
                <w:b/>
                <w:szCs w:val="21"/>
                <w:u w:val="single"/>
              </w:rPr>
              <w:t xml:space="preserve"> </w:t>
            </w:r>
            <w:r>
              <w:rPr>
                <w:rFonts w:hint="eastAsia" w:ascii="宋体" w:hAnsi="宋体" w:cs="宋体"/>
                <w:b/>
                <w:szCs w:val="21"/>
                <w:u w:val="single"/>
              </w:rPr>
              <w:t>30</w:t>
            </w:r>
            <w:r>
              <w:rPr>
                <w:rFonts w:ascii="宋体" w:hAnsi="宋体" w:cs="宋体"/>
                <w:b/>
                <w:szCs w:val="21"/>
                <w:u w:val="single"/>
              </w:rPr>
              <w:t xml:space="preserve"> </w:t>
            </w:r>
            <w:r>
              <w:rPr>
                <w:rFonts w:hint="eastAsia" w:ascii="宋体" w:hAnsi="宋体" w:cs="宋体"/>
                <w:b/>
                <w:szCs w:val="21"/>
                <w:u w:val="single"/>
              </w:rPr>
              <w:t>分至</w:t>
            </w:r>
            <w:r>
              <w:rPr>
                <w:rFonts w:ascii="宋体" w:hAnsi="宋体" w:cs="宋体"/>
                <w:b/>
                <w:szCs w:val="21"/>
                <w:u w:val="single"/>
              </w:rPr>
              <w:t xml:space="preserve"> </w:t>
            </w:r>
            <w:r>
              <w:rPr>
                <w:rFonts w:hint="eastAsia" w:ascii="宋体" w:hAnsi="宋体" w:cs="宋体"/>
                <w:b/>
                <w:szCs w:val="21"/>
                <w:u w:val="single"/>
              </w:rPr>
              <w:t>1</w:t>
            </w:r>
            <w:r>
              <w:rPr>
                <w:rFonts w:hint="eastAsia" w:ascii="宋体" w:hAnsi="宋体" w:cs="宋体"/>
                <w:b/>
                <w:szCs w:val="21"/>
                <w:u w:val="single"/>
                <w:lang w:val="en-US" w:eastAsia="zh-CN"/>
              </w:rPr>
              <w:t>0</w:t>
            </w:r>
            <w:r>
              <w:rPr>
                <w:rFonts w:hint="eastAsia" w:ascii="宋体" w:hAnsi="宋体" w:cs="宋体"/>
                <w:b/>
                <w:szCs w:val="21"/>
                <w:u w:val="single"/>
              </w:rPr>
              <w:t xml:space="preserve"> 时</w:t>
            </w:r>
            <w:r>
              <w:rPr>
                <w:rFonts w:ascii="宋体" w:hAnsi="宋体" w:cs="宋体"/>
                <w:b/>
                <w:szCs w:val="21"/>
                <w:u w:val="single"/>
              </w:rPr>
              <w:t xml:space="preserve"> </w:t>
            </w:r>
            <w:r>
              <w:rPr>
                <w:rFonts w:hint="eastAsia" w:ascii="宋体" w:hAnsi="宋体" w:cs="宋体"/>
                <w:b/>
                <w:szCs w:val="21"/>
                <w:u w:val="single"/>
              </w:rPr>
              <w:t>00</w:t>
            </w:r>
            <w:r>
              <w:rPr>
                <w:rFonts w:ascii="宋体" w:hAnsi="宋体" w:cs="宋体"/>
                <w:b/>
                <w:szCs w:val="21"/>
                <w:u w:val="single"/>
              </w:rPr>
              <w:t xml:space="preserve"> </w:t>
            </w:r>
            <w:r>
              <w:rPr>
                <w:rFonts w:hint="eastAsia" w:ascii="宋体" w:hAnsi="宋体" w:cs="宋体"/>
                <w:b/>
                <w:szCs w:val="21"/>
                <w:u w:val="single"/>
              </w:rPr>
              <w:t>分</w:t>
            </w:r>
            <w:r>
              <w:rPr>
                <w:rFonts w:hint="eastAsia" w:ascii="宋体" w:hAnsi="宋体" w:cs="宋体"/>
                <w:b/>
                <w:kern w:val="0"/>
                <w:szCs w:val="21"/>
              </w:rPr>
              <w:t>（北京时间）</w:t>
            </w:r>
          </w:p>
          <w:p>
            <w:pPr>
              <w:autoSpaceDE w:val="0"/>
              <w:autoSpaceDN w:val="0"/>
              <w:adjustRightInd w:val="0"/>
              <w:spacing w:before="73"/>
              <w:ind w:right="-20" w:firstLine="422" w:firstLineChars="200"/>
              <w:jc w:val="left"/>
              <w:rPr>
                <w:rFonts w:ascii="宋体" w:hAnsi="宋体" w:cs="宋体"/>
                <w:kern w:val="0"/>
                <w:szCs w:val="21"/>
              </w:rPr>
            </w:pPr>
            <w:r>
              <w:rPr>
                <w:rFonts w:hint="eastAsia" w:ascii="宋体" w:hAnsi="宋体" w:cs="宋体"/>
                <w:b/>
                <w:kern w:val="0"/>
                <w:szCs w:val="21"/>
              </w:rPr>
              <w:t>截止时间：</w:t>
            </w:r>
            <w:r>
              <w:rPr>
                <w:rFonts w:hint="eastAsia" w:ascii="宋体" w:hAnsi="宋体" w:cs="宋体"/>
                <w:b/>
                <w:szCs w:val="21"/>
                <w:u w:val="single"/>
              </w:rPr>
              <w:t xml:space="preserve">2021年 2 月 </w:t>
            </w:r>
            <w:r>
              <w:rPr>
                <w:rFonts w:hint="eastAsia" w:ascii="宋体" w:hAnsi="宋体" w:cs="宋体"/>
                <w:b/>
                <w:szCs w:val="21"/>
                <w:u w:val="single"/>
                <w:lang w:val="en-US" w:eastAsia="zh-CN"/>
              </w:rPr>
              <w:t>7</w:t>
            </w:r>
            <w:r>
              <w:rPr>
                <w:rFonts w:hint="eastAsia" w:ascii="宋体" w:hAnsi="宋体" w:cs="宋体"/>
                <w:b/>
                <w:szCs w:val="21"/>
                <w:u w:val="single"/>
              </w:rPr>
              <w:t xml:space="preserve"> 日 1</w:t>
            </w:r>
            <w:r>
              <w:rPr>
                <w:rFonts w:hint="eastAsia" w:ascii="宋体" w:hAnsi="宋体" w:cs="宋体"/>
                <w:b/>
                <w:szCs w:val="21"/>
                <w:u w:val="single"/>
                <w:lang w:val="en-US" w:eastAsia="zh-CN"/>
              </w:rPr>
              <w:t>0</w:t>
            </w:r>
            <w:r>
              <w:rPr>
                <w:rFonts w:hint="eastAsia" w:ascii="宋体" w:hAnsi="宋体" w:cs="宋体"/>
                <w:b/>
                <w:szCs w:val="21"/>
                <w:u w:val="single"/>
              </w:rPr>
              <w:t xml:space="preserve"> 时</w:t>
            </w:r>
            <w:r>
              <w:rPr>
                <w:rFonts w:ascii="宋体" w:hAnsi="宋体" w:cs="宋体"/>
                <w:b/>
                <w:szCs w:val="21"/>
                <w:u w:val="single"/>
              </w:rPr>
              <w:t xml:space="preserve"> </w:t>
            </w:r>
            <w:r>
              <w:rPr>
                <w:rFonts w:hint="eastAsia" w:ascii="宋体" w:hAnsi="宋体" w:cs="宋体"/>
                <w:b/>
                <w:szCs w:val="21"/>
                <w:u w:val="single"/>
              </w:rPr>
              <w:t>00分</w:t>
            </w:r>
            <w:r>
              <w:rPr>
                <w:rFonts w:hint="eastAsia" w:ascii="宋体" w:hAnsi="宋体" w:cs="宋体"/>
                <w:b/>
                <w:kern w:val="0"/>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 xml:space="preserve">4.2.2 </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递交竞标文件地点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szCs w:val="21"/>
              </w:rPr>
            </w:pPr>
            <w:r>
              <w:rPr>
                <w:rFonts w:hint="eastAsia" w:ascii="宋体" w:hAnsi="宋体" w:cs="宋体"/>
                <w:szCs w:val="21"/>
              </w:rPr>
              <w:t>重庆两江新区水土高新技术产业园建设投资有限公司403室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4.2.3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是否退还竞标文件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开标时间和地点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szCs w:val="21"/>
              </w:rPr>
            </w:pPr>
            <w:r>
              <w:rPr>
                <w:rFonts w:hint="eastAsia" w:ascii="宋体" w:hAnsi="宋体" w:cs="宋体"/>
                <w:szCs w:val="21"/>
              </w:rPr>
              <w:t>开标时间：</w:t>
            </w:r>
            <w:r>
              <w:rPr>
                <w:rFonts w:hint="eastAsia" w:ascii="宋体" w:hAnsi="宋体" w:cs="宋体"/>
                <w:b/>
                <w:szCs w:val="21"/>
                <w:u w:val="single"/>
              </w:rPr>
              <w:t xml:space="preserve">2021年 2 月 </w:t>
            </w:r>
            <w:r>
              <w:rPr>
                <w:rFonts w:hint="eastAsia" w:ascii="宋体" w:hAnsi="宋体" w:cs="宋体"/>
                <w:b/>
                <w:szCs w:val="21"/>
                <w:u w:val="single"/>
                <w:lang w:val="en-US" w:eastAsia="zh-CN"/>
              </w:rPr>
              <w:t>7</w:t>
            </w:r>
            <w:r>
              <w:rPr>
                <w:rFonts w:hint="eastAsia" w:ascii="宋体" w:hAnsi="宋体" w:cs="宋体"/>
                <w:b/>
                <w:szCs w:val="21"/>
                <w:u w:val="single"/>
              </w:rPr>
              <w:t xml:space="preserve"> 日 1</w:t>
            </w:r>
            <w:r>
              <w:rPr>
                <w:rFonts w:hint="eastAsia" w:ascii="宋体" w:hAnsi="宋体" w:cs="宋体"/>
                <w:b/>
                <w:szCs w:val="21"/>
                <w:u w:val="single"/>
                <w:lang w:val="en-US" w:eastAsia="zh-CN"/>
              </w:rPr>
              <w:t>0</w:t>
            </w:r>
            <w:r>
              <w:rPr>
                <w:rFonts w:hint="eastAsia" w:ascii="宋体" w:hAnsi="宋体" w:cs="宋体"/>
                <w:b/>
                <w:szCs w:val="21"/>
                <w:u w:val="single"/>
              </w:rPr>
              <w:t>时</w:t>
            </w:r>
            <w:r>
              <w:rPr>
                <w:rFonts w:ascii="宋体" w:hAnsi="宋体" w:cs="宋体"/>
                <w:b/>
                <w:szCs w:val="21"/>
                <w:u w:val="single"/>
              </w:rPr>
              <w:t xml:space="preserve"> </w:t>
            </w:r>
            <w:r>
              <w:rPr>
                <w:rFonts w:hint="eastAsia" w:ascii="宋体" w:hAnsi="宋体" w:cs="宋体"/>
                <w:b/>
                <w:szCs w:val="21"/>
                <w:u w:val="single"/>
              </w:rPr>
              <w:t>00分</w:t>
            </w:r>
            <w:r>
              <w:rPr>
                <w:rFonts w:hint="eastAsia" w:ascii="宋体" w:hAnsi="宋体" w:cs="宋体"/>
                <w:szCs w:val="21"/>
              </w:rPr>
              <w:t>（北京时间）</w:t>
            </w:r>
          </w:p>
          <w:p>
            <w:pPr>
              <w:spacing w:line="420" w:lineRule="exact"/>
              <w:ind w:firstLine="525" w:firstLineChars="250"/>
              <w:rPr>
                <w:rFonts w:ascii="宋体" w:hAnsi="宋体" w:cs="宋体"/>
                <w:szCs w:val="21"/>
              </w:rPr>
            </w:pPr>
            <w:r>
              <w:rPr>
                <w:rFonts w:hint="eastAsia" w:ascii="宋体" w:hAnsi="宋体" w:cs="宋体"/>
                <w:szCs w:val="21"/>
              </w:rPr>
              <w:t>开标地点：重庆两江新区水土高新技术产</w:t>
            </w:r>
            <w:bookmarkStart w:id="818" w:name="_GoBack"/>
            <w:bookmarkEnd w:id="818"/>
            <w:r>
              <w:rPr>
                <w:rFonts w:hint="eastAsia" w:ascii="宋体" w:hAnsi="宋体" w:cs="宋体"/>
                <w:szCs w:val="21"/>
              </w:rPr>
              <w:t>业园建设投资有限公司403室。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5.2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开标程序</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szCs w:val="21"/>
              </w:rPr>
            </w:pPr>
            <w:r>
              <w:rPr>
                <w:rFonts w:hint="eastAsia" w:ascii="宋体" w:hAnsi="宋体" w:cs="宋体"/>
                <w:szCs w:val="21"/>
              </w:rPr>
              <w:t>主持人按下列程序进行开标：</w:t>
            </w:r>
          </w:p>
          <w:p>
            <w:pPr>
              <w:spacing w:line="420" w:lineRule="exact"/>
              <w:ind w:firstLine="525" w:firstLineChars="250"/>
              <w:rPr>
                <w:rFonts w:ascii="宋体" w:hAnsi="宋体" w:cs="宋体"/>
                <w:szCs w:val="21"/>
              </w:rPr>
            </w:pPr>
            <w:r>
              <w:rPr>
                <w:rFonts w:hint="eastAsia" w:ascii="宋体" w:hAnsi="宋体" w:cs="宋体"/>
                <w:szCs w:val="21"/>
              </w:rPr>
              <w:t>1. 宣布开标纪律；</w:t>
            </w:r>
          </w:p>
          <w:p>
            <w:pPr>
              <w:spacing w:line="420" w:lineRule="exact"/>
              <w:ind w:firstLine="525" w:firstLineChars="250"/>
              <w:rPr>
                <w:rFonts w:ascii="宋体" w:hAnsi="宋体" w:cs="宋体"/>
                <w:szCs w:val="21"/>
              </w:rPr>
            </w:pPr>
            <w:r>
              <w:rPr>
                <w:rFonts w:hint="eastAsia" w:ascii="宋体" w:hAnsi="宋体" w:cs="宋体"/>
                <w:szCs w:val="21"/>
              </w:rPr>
              <w:t>2. 宣布开标人、唱标人、记录人、监标人等有关人员姓名；</w:t>
            </w:r>
          </w:p>
          <w:p>
            <w:pPr>
              <w:spacing w:line="420" w:lineRule="exact"/>
              <w:ind w:firstLine="525" w:firstLineChars="250"/>
              <w:rPr>
                <w:rFonts w:ascii="宋体" w:hAnsi="宋体" w:cs="宋体"/>
                <w:szCs w:val="21"/>
              </w:rPr>
            </w:pPr>
            <w:r>
              <w:rPr>
                <w:rFonts w:hint="eastAsia" w:ascii="宋体" w:hAnsi="宋体" w:cs="宋体"/>
                <w:szCs w:val="21"/>
              </w:rPr>
              <w:t>3. 公布在竞标截止时间前递交竞标文件的竞标人名称，并点名确认竞标人是否派人到场；</w:t>
            </w:r>
          </w:p>
          <w:p>
            <w:pPr>
              <w:widowControl/>
              <w:spacing w:line="420" w:lineRule="exact"/>
              <w:ind w:firstLine="525" w:firstLineChars="250"/>
              <w:rPr>
                <w:rFonts w:ascii="宋体" w:hAnsi="宋体" w:cs="宋体"/>
                <w:szCs w:val="21"/>
              </w:rPr>
            </w:pPr>
            <w:r>
              <w:rPr>
                <w:rFonts w:hint="eastAsia" w:ascii="宋体" w:hAnsi="宋体" w:cs="宋体"/>
                <w:szCs w:val="21"/>
              </w:rPr>
              <w:t xml:space="preserve">4. </w:t>
            </w:r>
            <w:r>
              <w:rPr>
                <w:rFonts w:hint="eastAsia" w:ascii="宋体" w:hAnsi="宋体"/>
                <w:kern w:val="0"/>
                <w:szCs w:val="21"/>
              </w:rPr>
              <w:t>核验参加开标会议的竞标人的法定代表人或委托代理人本人身份证（原件），核验被授权代理人的授权委托书（原件），以确认其身份合法有效；</w:t>
            </w:r>
            <w:r>
              <w:rPr>
                <w:rFonts w:hint="eastAsia" w:ascii="宋体" w:hAnsi="宋体"/>
                <w:szCs w:val="21"/>
              </w:rPr>
              <w:t>否则，比选人当场退还竞标文件</w:t>
            </w:r>
            <w:r>
              <w:rPr>
                <w:rFonts w:hint="eastAsia" w:ascii="宋体" w:hAnsi="宋体" w:cs="宋体"/>
                <w:szCs w:val="21"/>
              </w:rPr>
              <w:t>。</w:t>
            </w:r>
          </w:p>
          <w:p>
            <w:pPr>
              <w:widowControl/>
              <w:spacing w:line="420" w:lineRule="exact"/>
              <w:ind w:firstLine="525" w:firstLineChars="250"/>
              <w:rPr>
                <w:rFonts w:ascii="宋体" w:hAnsi="宋体" w:cs="宋体"/>
                <w:szCs w:val="21"/>
              </w:rPr>
            </w:pPr>
            <w:r>
              <w:rPr>
                <w:rFonts w:hint="eastAsia" w:ascii="宋体" w:hAnsi="宋体" w:cs="宋体"/>
                <w:szCs w:val="21"/>
              </w:rPr>
              <w:t>5.</w:t>
            </w:r>
            <w:r>
              <w:rPr>
                <w:rFonts w:hint="eastAsia" w:ascii="宋体" w:hAnsi="宋体" w:cs="宋体"/>
                <w:snapToGrid w:val="0"/>
                <w:szCs w:val="21"/>
              </w:rPr>
              <w:t xml:space="preserve"> 核验</w:t>
            </w:r>
            <w:r>
              <w:rPr>
                <w:rFonts w:hint="eastAsia" w:ascii="宋体" w:hAnsi="宋体"/>
                <w:kern w:val="0"/>
                <w:szCs w:val="21"/>
              </w:rPr>
              <w:t>竞标</w:t>
            </w:r>
            <w:r>
              <w:rPr>
                <w:rFonts w:hint="eastAsia" w:ascii="宋体" w:hAnsi="宋体" w:cs="宋体"/>
                <w:snapToGrid w:val="0"/>
                <w:szCs w:val="21"/>
              </w:rPr>
              <w:t xml:space="preserve">保证金缴纳情况。 </w:t>
            </w:r>
          </w:p>
          <w:p>
            <w:pPr>
              <w:widowControl/>
              <w:spacing w:line="420" w:lineRule="exact"/>
              <w:ind w:firstLine="525" w:firstLineChars="250"/>
              <w:rPr>
                <w:rFonts w:ascii="宋体" w:hAnsi="宋体" w:cs="宋体"/>
                <w:szCs w:val="21"/>
              </w:rPr>
            </w:pPr>
            <w:r>
              <w:rPr>
                <w:rFonts w:hint="eastAsia" w:ascii="宋体" w:hAnsi="宋体" w:cs="宋体"/>
                <w:szCs w:val="21"/>
              </w:rPr>
              <w:t>6. 密封情况检查：竞标人或者其推选的代表检查竞标文件密封情况并确认；</w:t>
            </w:r>
          </w:p>
          <w:p>
            <w:pPr>
              <w:spacing w:line="420" w:lineRule="exact"/>
              <w:ind w:left="44" w:leftChars="21" w:firstLine="525" w:firstLineChars="250"/>
              <w:rPr>
                <w:rFonts w:ascii="宋体" w:hAnsi="宋体" w:cs="宋体"/>
                <w:szCs w:val="21"/>
              </w:rPr>
            </w:pPr>
            <w:r>
              <w:rPr>
                <w:rFonts w:hint="eastAsia" w:ascii="宋体" w:hAnsi="宋体" w:cs="宋体"/>
                <w:szCs w:val="21"/>
              </w:rPr>
              <w:t>7. 设有最高限价的，公布最高限价；</w:t>
            </w:r>
          </w:p>
          <w:p>
            <w:pPr>
              <w:spacing w:line="420" w:lineRule="exact"/>
              <w:ind w:left="44" w:leftChars="21" w:firstLine="525" w:firstLineChars="250"/>
              <w:rPr>
                <w:rFonts w:ascii="宋体" w:hAnsi="宋体" w:cs="宋体"/>
                <w:szCs w:val="21"/>
              </w:rPr>
            </w:pPr>
            <w:r>
              <w:rPr>
                <w:rFonts w:hint="eastAsia" w:ascii="宋体" w:hAnsi="宋体" w:cs="宋体"/>
                <w:szCs w:val="21"/>
              </w:rPr>
              <w:t>8. 开启竞标文件顺序：随机开启；</w:t>
            </w:r>
          </w:p>
          <w:p>
            <w:pPr>
              <w:spacing w:line="420" w:lineRule="exact"/>
              <w:ind w:left="44" w:leftChars="21" w:firstLine="525" w:firstLineChars="250"/>
              <w:rPr>
                <w:rFonts w:ascii="宋体" w:hAnsi="宋体" w:cs="宋体"/>
                <w:szCs w:val="21"/>
              </w:rPr>
            </w:pPr>
            <w:r>
              <w:rPr>
                <w:rFonts w:hint="eastAsia" w:ascii="宋体" w:hAnsi="宋体" w:cs="宋体"/>
                <w:szCs w:val="21"/>
              </w:rPr>
              <w:t>9. 按照宣布的开标顺序当众开标，开启竞标文件袋，公布竞标人名称、竞标报价、工期及其他内容，并记录在案；</w:t>
            </w:r>
          </w:p>
          <w:p>
            <w:pPr>
              <w:spacing w:line="420" w:lineRule="exact"/>
              <w:ind w:firstLine="525" w:firstLineChars="250"/>
              <w:rPr>
                <w:rFonts w:ascii="宋体" w:hAnsi="宋体" w:cs="宋体"/>
                <w:szCs w:val="21"/>
              </w:rPr>
            </w:pPr>
            <w:r>
              <w:rPr>
                <w:rFonts w:hint="eastAsia" w:ascii="宋体" w:hAnsi="宋体" w:cs="宋体"/>
                <w:szCs w:val="21"/>
              </w:rPr>
              <w:t>10. 竞标人代表、比选人代表、监督人员等有关人员在开标记录上签字确认；</w:t>
            </w:r>
          </w:p>
          <w:p>
            <w:pPr>
              <w:spacing w:line="420" w:lineRule="exact"/>
              <w:ind w:firstLine="525" w:firstLineChars="250"/>
              <w:rPr>
                <w:rFonts w:ascii="宋体" w:hAnsi="宋体" w:cs="宋体"/>
                <w:szCs w:val="21"/>
              </w:rPr>
            </w:pPr>
            <w:r>
              <w:rPr>
                <w:rFonts w:hint="eastAsia" w:ascii="宋体" w:hAnsi="宋体" w:cs="宋体"/>
                <w:szCs w:val="21"/>
              </w:rPr>
              <w:t>11.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评选委员会的组建</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firstLine="420" w:firstLineChars="200"/>
              <w:rPr>
                <w:rFonts w:ascii="宋体" w:hAnsi="宋体" w:cs="宋体"/>
                <w:szCs w:val="21"/>
              </w:rPr>
            </w:pPr>
            <w:r>
              <w:rPr>
                <w:rFonts w:hint="eastAsia" w:ascii="宋体" w:hAnsi="宋体" w:cs="宋体"/>
                <w:szCs w:val="21"/>
              </w:rPr>
              <w:t>1.评选委员会构成: 3人；</w:t>
            </w:r>
          </w:p>
          <w:p>
            <w:pPr>
              <w:autoSpaceDE w:val="0"/>
              <w:autoSpaceDN w:val="0"/>
              <w:adjustRightInd w:val="0"/>
              <w:spacing w:line="360" w:lineRule="auto"/>
              <w:ind w:right="-20" w:firstLine="420" w:firstLineChars="200"/>
              <w:rPr>
                <w:rFonts w:ascii="宋体" w:hAnsi="宋体" w:cs="宋体"/>
                <w:szCs w:val="21"/>
              </w:rPr>
            </w:pPr>
            <w:r>
              <w:rPr>
                <w:rFonts w:hint="eastAsia" w:ascii="宋体" w:hAnsi="宋体" w:cs="宋体"/>
                <w:szCs w:val="21"/>
              </w:rPr>
              <w:t>2.评选专家确定方式：</w:t>
            </w:r>
            <w:r>
              <w:rPr>
                <w:rFonts w:hint="eastAsia" w:ascii="宋体" w:hAnsi="宋体"/>
                <w:spacing w:val="4"/>
                <w:kern w:val="0"/>
                <w:szCs w:val="21"/>
              </w:rPr>
              <w:t>自行依法</w:t>
            </w:r>
            <w:r>
              <w:rPr>
                <w:rFonts w:ascii="宋体" w:hAnsi="宋体"/>
                <w:spacing w:val="4"/>
                <w:kern w:val="0"/>
                <w:szCs w:val="21"/>
              </w:rPr>
              <w:t>组</w:t>
            </w:r>
            <w:r>
              <w:rPr>
                <w:rFonts w:hint="eastAsia" w:ascii="宋体" w:hAnsi="宋体"/>
                <w:spacing w:val="4"/>
                <w:kern w:val="0"/>
                <w:szCs w:val="21"/>
              </w:rPr>
              <w:t>建</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7.1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是否授权评选委员会确定中标人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szCs w:val="21"/>
              </w:rPr>
            </w:pPr>
            <w:r>
              <w:rPr>
                <w:rFonts w:hint="eastAsia" w:ascii="宋体" w:hAnsi="宋体" w:cs="宋体"/>
                <w:szCs w:val="21"/>
              </w:rPr>
              <w:t>否，</w:t>
            </w:r>
            <w:r>
              <w:rPr>
                <w:rFonts w:ascii="宋体" w:hAnsi="宋体"/>
                <w:kern w:val="0"/>
                <w:szCs w:val="21"/>
              </w:rPr>
              <w:t>推荐经评审合格的</w:t>
            </w:r>
            <w:r>
              <w:rPr>
                <w:rFonts w:hint="eastAsia" w:ascii="宋体" w:hAnsi="宋体"/>
                <w:kern w:val="0"/>
                <w:szCs w:val="21"/>
              </w:rPr>
              <w:t>报价</w:t>
            </w:r>
            <w:r>
              <w:rPr>
                <w:rFonts w:ascii="宋体" w:hAnsi="宋体"/>
                <w:kern w:val="0"/>
                <w:szCs w:val="21"/>
              </w:rPr>
              <w:t>由低到高排名前三名为中标候选人。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7.3.1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履约担保</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1、中标人是否提供履约担保：提供。</w:t>
            </w:r>
          </w:p>
          <w:p>
            <w:pPr>
              <w:snapToGrid w:val="0"/>
              <w:spacing w:line="400" w:lineRule="exact"/>
              <w:ind w:firstLine="420" w:firstLineChars="200"/>
              <w:rPr>
                <w:rFonts w:ascii="宋体" w:hAnsi="宋体"/>
                <w:kern w:val="0"/>
                <w:szCs w:val="21"/>
              </w:rPr>
            </w:pPr>
            <w:r>
              <w:rPr>
                <w:rFonts w:hint="eastAsia" w:ascii="宋体" w:hAnsi="宋体"/>
                <w:kern w:val="0"/>
                <w:szCs w:val="21"/>
              </w:rPr>
              <w:t>2、中标人提供履约担保的形式、金额及期限：</w:t>
            </w:r>
          </w:p>
          <w:p>
            <w:pPr>
              <w:snapToGrid w:val="0"/>
              <w:spacing w:line="400" w:lineRule="exact"/>
              <w:ind w:firstLine="420" w:firstLineChars="200"/>
              <w:rPr>
                <w:rFonts w:ascii="宋体" w:hAnsi="宋体"/>
                <w:kern w:val="0"/>
                <w:szCs w:val="21"/>
              </w:rPr>
            </w:pPr>
            <w:r>
              <w:rPr>
                <w:rFonts w:hint="eastAsia" w:ascii="宋体" w:hAnsi="宋体"/>
                <w:kern w:val="0"/>
                <w:szCs w:val="21"/>
              </w:rPr>
              <w:t>（1）履约担保的形式：现金或不可撤销的见索即付银行保函；</w:t>
            </w:r>
          </w:p>
          <w:p>
            <w:pPr>
              <w:widowControl/>
              <w:spacing w:line="400" w:lineRule="exact"/>
              <w:ind w:firstLine="420" w:firstLineChars="200"/>
              <w:jc w:val="left"/>
              <w:rPr>
                <w:rFonts w:ascii="宋体" w:hAnsi="宋体"/>
                <w:szCs w:val="21"/>
              </w:rPr>
            </w:pPr>
            <w:r>
              <w:rPr>
                <w:rFonts w:hint="eastAsia" w:ascii="宋体" w:hAnsi="宋体"/>
                <w:kern w:val="0"/>
                <w:szCs w:val="21"/>
              </w:rPr>
              <w:t>（2）履约担保的金额：</w:t>
            </w:r>
            <w:r>
              <w:rPr>
                <w:rFonts w:hint="eastAsia" w:ascii="宋体" w:hAnsi="宋体"/>
                <w:szCs w:val="21"/>
                <w:shd w:val="clear" w:color="auto" w:fill="FFFFFF"/>
              </w:rPr>
              <w:t>为合同暂定金额的10%。</w:t>
            </w:r>
          </w:p>
          <w:p>
            <w:pPr>
              <w:snapToGrid w:val="0"/>
              <w:spacing w:line="400" w:lineRule="exact"/>
              <w:ind w:firstLine="420" w:firstLineChars="200"/>
              <w:rPr>
                <w:rFonts w:ascii="宋体" w:hAnsi="宋体"/>
                <w:kern w:val="0"/>
                <w:szCs w:val="21"/>
              </w:rPr>
            </w:pPr>
            <w:r>
              <w:rPr>
                <w:rFonts w:hint="eastAsia" w:ascii="宋体" w:hAnsi="宋体"/>
                <w:kern w:val="0"/>
                <w:szCs w:val="21"/>
              </w:rPr>
              <w:t>（3）履约担保的提交时间：见专用合同条款。</w:t>
            </w:r>
          </w:p>
          <w:p>
            <w:pPr>
              <w:snapToGrid w:val="0"/>
              <w:spacing w:line="400" w:lineRule="exact"/>
              <w:ind w:firstLine="420" w:firstLineChars="200"/>
              <w:rPr>
                <w:rFonts w:ascii="宋体" w:hAnsi="宋体"/>
                <w:kern w:val="0"/>
                <w:szCs w:val="21"/>
              </w:rPr>
            </w:pPr>
            <w:r>
              <w:rPr>
                <w:rFonts w:hint="eastAsia" w:ascii="宋体" w:hAnsi="宋体"/>
                <w:kern w:val="0"/>
                <w:szCs w:val="21"/>
              </w:rPr>
              <w:t>（4）履约担保的期限：见专用合同条款。</w:t>
            </w:r>
          </w:p>
          <w:p>
            <w:pPr>
              <w:spacing w:line="420" w:lineRule="exact"/>
              <w:ind w:firstLine="420" w:firstLineChars="200"/>
              <w:rPr>
                <w:rFonts w:ascii="宋体" w:hAnsi="宋体" w:cs="宋体"/>
                <w:szCs w:val="21"/>
              </w:rPr>
            </w:pPr>
            <w:r>
              <w:rPr>
                <w:rFonts w:hint="eastAsia" w:ascii="宋体" w:hAnsi="宋体"/>
                <w:kern w:val="0"/>
                <w:szCs w:val="21"/>
              </w:rPr>
              <w:t>（5）履约担保的退还时间：见专用合同条款。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8.1</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重新比选</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rPr>
              <w:t>经评选后，如有效竞标人不足三个的，但</w:t>
            </w:r>
            <w:r>
              <w:rPr>
                <w:rFonts w:hint="eastAsia" w:ascii="宋体" w:hAnsi="宋体"/>
                <w:kern w:val="0"/>
                <w:szCs w:val="21"/>
              </w:rPr>
              <w:t>竞标</w:t>
            </w:r>
            <w:r>
              <w:rPr>
                <w:rFonts w:hint="eastAsia" w:ascii="宋体" w:hAnsi="宋体" w:cs="宋体"/>
                <w:snapToGrid w:val="0"/>
                <w:kern w:val="0"/>
                <w:szCs w:val="21"/>
              </w:rPr>
              <w:t>未明显缺乏竞争的，评选委员会应当继续评选。若否决全部</w:t>
            </w:r>
            <w:r>
              <w:rPr>
                <w:rFonts w:hint="eastAsia" w:ascii="宋体" w:hAnsi="宋体"/>
                <w:kern w:val="0"/>
                <w:szCs w:val="21"/>
              </w:rPr>
              <w:t>竞标</w:t>
            </w:r>
            <w:r>
              <w:rPr>
                <w:rFonts w:hint="eastAsia" w:ascii="宋体" w:hAnsi="宋体" w:cs="宋体"/>
                <w:snapToGrid w:val="0"/>
                <w:kern w:val="0"/>
                <w:szCs w:val="21"/>
              </w:rPr>
              <w:t>，比选人将重新组织比选。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8.2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rPr>
            </w:pPr>
            <w:r>
              <w:rPr>
                <w:rFonts w:hint="eastAsia" w:ascii="宋体" w:hAnsi="宋体" w:cs="宋体"/>
              </w:rPr>
              <w:t>不再比选</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jc w:val="left"/>
              <w:rPr>
                <w:rFonts w:ascii="宋体" w:hAnsi="宋体" w:cs="宋体"/>
                <w:snapToGrid w:val="0"/>
                <w:kern w:val="0"/>
                <w:szCs w:val="21"/>
              </w:rPr>
            </w:pPr>
            <w:r>
              <w:rPr>
                <w:rFonts w:hint="eastAsia" w:ascii="宋体" w:hAnsi="宋体" w:cs="宋体"/>
                <w:snapToGrid w:val="0"/>
                <w:kern w:val="0"/>
                <w:szCs w:val="21"/>
              </w:rPr>
              <w:t xml:space="preserve">重新比选后竞标人仍少于三人，按法定程序开标和评选，确定中标人。经评审无合格竞标人，属于审批或核准项目的，报经原审批部门批准可以不再比选；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r>
              <w:rPr>
                <w:rFonts w:ascii="宋体" w:hAnsi="宋体"/>
                <w:kern w:val="0"/>
                <w:szCs w:val="21"/>
              </w:rPr>
              <w:t>10</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jc w:val="center"/>
              <w:rPr>
                <w:rFonts w:ascii="宋体" w:hAnsi="宋体" w:cs="宋体"/>
                <w:snapToGrid w:val="0"/>
                <w:kern w:val="0"/>
                <w:szCs w:val="21"/>
              </w:rPr>
            </w:pPr>
            <w:r>
              <w:rPr>
                <w:rFonts w:ascii="宋体" w:hAnsi="宋体"/>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firstLineChars="100"/>
              <w:rPr>
                <w:rFonts w:ascii="宋体" w:hAnsi="宋体" w:cs="宋体"/>
                <w:szCs w:val="21"/>
              </w:rPr>
            </w:pPr>
            <w:r>
              <w:rPr>
                <w:rFonts w:hint="eastAsia" w:ascii="宋体" w:hAnsi="宋体" w:cs="宋体"/>
                <w:szCs w:val="21"/>
              </w:rPr>
              <w:t>10.1</w:t>
            </w:r>
          </w:p>
        </w:tc>
        <w:tc>
          <w:tcPr>
            <w:tcW w:w="15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cs="宋体"/>
                <w:szCs w:val="21"/>
              </w:rPr>
            </w:pPr>
            <w:r>
              <w:rPr>
                <w:rFonts w:hint="eastAsia" w:ascii="宋体" w:hAnsi="宋体" w:cs="宋体"/>
                <w:szCs w:val="21"/>
              </w:rPr>
              <w:t>结算原则</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20" w:firstLineChars="200"/>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本合同价款采用固定单价合同。</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结算价款</w:t>
            </w:r>
            <w:r>
              <w:rPr>
                <w:rFonts w:ascii="宋体" w:hAnsi="宋体" w:cs="宋体"/>
                <w:kern w:val="0"/>
                <w:szCs w:val="21"/>
              </w:rPr>
              <w:t>=分部分项工程量清单结算价+措施费+安全文明施工费+</w:t>
            </w:r>
            <w:r>
              <w:rPr>
                <w:rFonts w:hint="eastAsia" w:ascii="宋体" w:hAnsi="宋体" w:cs="宋体"/>
                <w:kern w:val="0"/>
                <w:szCs w:val="21"/>
              </w:rPr>
              <w:t>规费</w:t>
            </w:r>
            <w:r>
              <w:rPr>
                <w:rFonts w:ascii="宋体" w:hAnsi="宋体" w:cs="宋体"/>
                <w:kern w:val="0"/>
                <w:szCs w:val="21"/>
              </w:rPr>
              <w:t>+税金±合同约定的其他费用。</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土石方地形复测</w:t>
            </w:r>
            <w:r>
              <w:rPr>
                <w:rFonts w:ascii="宋体" w:hAnsi="宋体" w:cs="宋体"/>
                <w:kern w:val="0"/>
                <w:szCs w:val="21"/>
              </w:rPr>
              <w:t>(若有)：进场施工前，承包人会同监理、发包人现场测量或发包人委托的第三</w:t>
            </w:r>
            <w:r>
              <w:rPr>
                <w:rFonts w:hint="eastAsia" w:ascii="宋体" w:hAnsi="宋体" w:cs="宋体"/>
                <w:kern w:val="0"/>
                <w:szCs w:val="21"/>
              </w:rPr>
              <w:t>方专业测量单位对现状地貌进行复测，以发包人实际收方或委托的第三方专业测量单位出具的实测数据作为结算依据。土石方工程量计算时，方格网的大小为</w:t>
            </w:r>
            <w:r>
              <w:rPr>
                <w:rFonts w:ascii="宋体" w:hAnsi="宋体" w:cs="宋体"/>
                <w:kern w:val="0"/>
                <w:szCs w:val="21"/>
              </w:rPr>
              <w:t>10*10米，方向按照施</w:t>
            </w:r>
            <w:r>
              <w:rPr>
                <w:rFonts w:hint="eastAsia" w:ascii="宋体" w:hAnsi="宋体" w:cs="宋体"/>
                <w:kern w:val="0"/>
                <w:szCs w:val="21"/>
              </w:rPr>
              <w:t>工图的方向执行。</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灌木部分结算价格根据竣工验收实测密度按竞标报价同比例调整后结算。（增加计算式）</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清单报价为全费用市场综合包干单价（包括但不限于全费用包干单价表中子项），在发生变更新增单价的情况下，仍按全费用市场综合包干单价由发包人确定。</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3措施费计价原则：</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1）以量计价的措施费，结算时按实计价；</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以项计价的措施费，结算时按以下计价原则调整：</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结算价中所有分部分项工程量清单合价（不含全费用清单部分）与中标价中所有分部分项工程量清单合价（不含全费用清单部分）相比：</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①以项计价的措施费（包括组织措施费和技术措施费中以项计的），浮动比例在±</w:t>
            </w:r>
            <w:r>
              <w:rPr>
                <w:rFonts w:ascii="宋体" w:hAnsi="宋体" w:cs="宋体"/>
                <w:kern w:val="0"/>
                <w:szCs w:val="21"/>
              </w:rPr>
              <w:t>10%内（含10%）的，则以中标措施费包干计取，不作调整；</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②当浮动比例超过±</w:t>
            </w:r>
            <w:r>
              <w:rPr>
                <w:rFonts w:ascii="宋体" w:hAnsi="宋体" w:cs="宋体"/>
                <w:kern w:val="0"/>
                <w:szCs w:val="21"/>
              </w:rPr>
              <w:t>10%时，则以中标价</w:t>
            </w:r>
            <w:r>
              <w:rPr>
                <w:rFonts w:hint="eastAsia" w:ascii="宋体" w:hAnsi="宋体" w:cs="宋体"/>
                <w:kern w:val="0"/>
                <w:szCs w:val="21"/>
              </w:rPr>
              <w:t>中以项计价的措施费为基数，调整超过±</w:t>
            </w:r>
            <w:r>
              <w:rPr>
                <w:rFonts w:ascii="宋体" w:hAnsi="宋体" w:cs="宋体"/>
                <w:kern w:val="0"/>
                <w:szCs w:val="21"/>
              </w:rPr>
              <w:t>10%部分。计算公式如下：</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若</w:t>
            </w:r>
            <w:r>
              <w:rPr>
                <w:rFonts w:ascii="宋体" w:hAnsi="宋体" w:cs="宋体"/>
                <w:kern w:val="0"/>
                <w:szCs w:val="21"/>
              </w:rPr>
              <w:t>B/C&gt;1.1，则A=[(B/C-1)*100%-10%]*D;</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若</w:t>
            </w:r>
            <w:r>
              <w:rPr>
                <w:rFonts w:ascii="宋体" w:hAnsi="宋体" w:cs="宋体"/>
                <w:kern w:val="0"/>
                <w:szCs w:val="21"/>
              </w:rPr>
              <w:t>B/C&lt;0.9，则A=[(1-B/C)*100%-10%]*D。</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A-措施费调整价</w:t>
            </w:r>
            <w:r>
              <w:rPr>
                <w:rFonts w:ascii="宋体" w:hAnsi="宋体" w:cs="宋体"/>
                <w:kern w:val="0"/>
                <w:szCs w:val="21"/>
              </w:rPr>
              <w:br w:type="textWrapping"/>
            </w:r>
            <w:r>
              <w:rPr>
                <w:rFonts w:ascii="宋体" w:hAnsi="宋体" w:cs="宋体"/>
                <w:kern w:val="0"/>
                <w:szCs w:val="21"/>
              </w:rPr>
              <w:t>B-结算价中分部分项工程量清单合价（不含</w:t>
            </w:r>
            <w:r>
              <w:rPr>
                <w:rFonts w:hint="eastAsia" w:ascii="宋体" w:hAnsi="宋体" w:cs="宋体"/>
                <w:kern w:val="0"/>
                <w:szCs w:val="21"/>
              </w:rPr>
              <w:t>全费用清单部分）</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C-中标价中分部分项工程量清单合价（不含</w:t>
            </w:r>
            <w:r>
              <w:rPr>
                <w:rFonts w:hint="eastAsia" w:ascii="宋体" w:hAnsi="宋体" w:cs="宋体"/>
                <w:kern w:val="0"/>
                <w:szCs w:val="21"/>
              </w:rPr>
              <w:t>全费用清单部分）</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D-中标价</w:t>
            </w:r>
            <w:r>
              <w:rPr>
                <w:rFonts w:hint="eastAsia" w:ascii="宋体" w:hAnsi="宋体" w:cs="宋体"/>
                <w:kern w:val="0"/>
                <w:szCs w:val="21"/>
              </w:rPr>
              <w:t>中以项计价的措施费</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暂定价材料价差调整金额：</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比选文件明确以暂定价计入竞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5.</w:t>
            </w:r>
            <w:r>
              <w:rPr>
                <w:rFonts w:hint="eastAsia" w:ascii="宋体" w:hAnsi="宋体" w:cs="宋体"/>
                <w:kern w:val="0"/>
                <w:szCs w:val="21"/>
              </w:rPr>
              <w:t>价差调整（仅针对工期超过一年的项目）：仅针对分部分项工程量清单中的永久结构工程，除商品砼、钢材、预拌砂浆、沥青砼、水稳层、水泥、砂、石子（外）不对（其他材料）物价波动引起的价格进行调整，由竞标方自行考虑价格波动引起的风险，并综合考虑在竞标报价中。</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价格调整采用算术平均法，具体如下：</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基准价格</w:t>
            </w:r>
            <w:r>
              <w:rPr>
                <w:rFonts w:ascii="宋体" w:hAnsi="宋体" w:cs="宋体"/>
                <w:kern w:val="0"/>
                <w:szCs w:val="21"/>
              </w:rPr>
              <w:t>A：以开标之日前15</w:t>
            </w:r>
            <w:r>
              <w:rPr>
                <w:rFonts w:hint="eastAsia" w:ascii="宋体" w:hAnsi="宋体" w:cs="宋体"/>
                <w:kern w:val="0"/>
                <w:szCs w:val="21"/>
              </w:rPr>
              <w:t>日历天对应的月份《重庆工程造价信息》公布的商品砼、钢材、预拌砂浆、沥青砼、水稳层、水泥、砂、石子单价作为调差基准价。</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2)算术平均价格B：以工程开工到主体结构完工的所有月份的《重庆工程造价信息》公布价，计算出商品</w:t>
            </w:r>
            <w:r>
              <w:rPr>
                <w:rFonts w:hint="eastAsia" w:ascii="宋体" w:hAnsi="宋体" w:cs="宋体"/>
                <w:kern w:val="0"/>
                <w:szCs w:val="21"/>
              </w:rPr>
              <w:t>砼、钢材、预拌砂浆、沥青砼、水稳层、水泥、砂、石子的算术平均价。</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3)</w:t>
            </w:r>
            <w:r>
              <w:rPr>
                <w:rFonts w:hint="eastAsia" w:ascii="宋体" w:hAnsi="宋体" w:cs="宋体"/>
                <w:kern w:val="0"/>
                <w:szCs w:val="21"/>
              </w:rPr>
              <w:t>调差总量</w:t>
            </w:r>
            <w:r>
              <w:rPr>
                <w:rFonts w:ascii="宋体" w:hAnsi="宋体" w:cs="宋体"/>
                <w:kern w:val="0"/>
                <w:szCs w:val="21"/>
              </w:rPr>
              <w:t>C：经业主和监理确认的竣工图及相关经济签证计算出工程量，按规定的定额消耗量</w:t>
            </w:r>
            <w:r>
              <w:rPr>
                <w:rFonts w:hint="eastAsia" w:ascii="宋体" w:hAnsi="宋体" w:cs="宋体"/>
                <w:kern w:val="0"/>
                <w:szCs w:val="21"/>
              </w:rPr>
              <w:t>作为调差总量。</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调差金额</w:t>
            </w:r>
            <w:r>
              <w:rPr>
                <w:rFonts w:ascii="宋体" w:hAnsi="宋体" w:cs="宋体"/>
                <w:kern w:val="0"/>
                <w:szCs w:val="21"/>
              </w:rPr>
              <w:t>D：算术平均价与基准价相比涨跌在±5%以内的,不予调差；算术平均价与基准价相比涨跌超过±5%的，其超出部分</w:t>
            </w:r>
            <w:r>
              <w:rPr>
                <w:rFonts w:hint="eastAsia" w:ascii="宋体" w:hAnsi="宋体" w:cs="宋体"/>
                <w:kern w:val="0"/>
                <w:szCs w:val="21"/>
              </w:rPr>
              <w:t>计算调差费用。具体调差公式如下：</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若</w:t>
            </w:r>
            <w:r>
              <w:rPr>
                <w:rFonts w:ascii="宋体" w:hAnsi="宋体" w:cs="宋体"/>
                <w:kern w:val="0"/>
                <w:szCs w:val="21"/>
              </w:rPr>
              <w:t>B/A＞1.05，则D=（B-A×1.05）×C；</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若</w:t>
            </w:r>
            <w:r>
              <w:rPr>
                <w:rFonts w:ascii="宋体" w:hAnsi="宋体" w:cs="宋体"/>
                <w:kern w:val="0"/>
                <w:szCs w:val="21"/>
              </w:rPr>
              <w:t>B/A＜0.95，则D=（A×0.95-B）×C。</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该调差金额除税金外不再计取任何费用。在结算时一次性调整。</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6.</w:t>
            </w:r>
            <w:r>
              <w:rPr>
                <w:rFonts w:hint="eastAsia" w:ascii="宋体" w:hAnsi="宋体" w:cs="宋体"/>
                <w:kern w:val="0"/>
                <w:szCs w:val="21"/>
              </w:rPr>
              <w:t>根据本工程的实际情况，招标工程量清单中“余方弃置”增运运距为暂定距离，实际增运运距由参建各方按实收方计算并精确到</w:t>
            </w:r>
            <w:r>
              <w:rPr>
                <w:rFonts w:ascii="宋体" w:hAnsi="宋体" w:cs="宋体"/>
                <w:kern w:val="0"/>
                <w:szCs w:val="21"/>
              </w:rPr>
              <w:t>100米。</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如实际增运运距在暂定增运运距以内的，则结算时以“余方弃置”中标价除以暂定增运运距乘以实际增运运距（例：暂定</w:t>
            </w:r>
            <w:r>
              <w:rPr>
                <w:rFonts w:ascii="宋体" w:hAnsi="宋体" w:cs="宋体"/>
                <w:kern w:val="0"/>
                <w:szCs w:val="21"/>
              </w:rPr>
              <w:t>10公里，实际收方8.1公里，则余方弃置结算价=余方弃置中标价÷10×8.1）。</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如实际增运运距超出暂定增运运距的，则结算时每增加</w:t>
            </w:r>
            <w:r>
              <w:rPr>
                <w:rFonts w:ascii="宋体" w:hAnsi="宋体" w:cs="宋体"/>
                <w:kern w:val="0"/>
                <w:szCs w:val="21"/>
              </w:rPr>
              <w:t>1KM按下述相应单价执行，若竞标人认为该单价偏低，偏低部分的价格由竞标人自行考虑分摊计入本次比选人提供的清单项目综合单价内。余方弃置实际增运运距超出暂定增运运距以外的部分，中标后，在项目实施过程中按实计取。</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A：增加运距在0－5KM（含5KM），按2元/m3•KM计；</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B：增加运距在5KM（不含5KM）－10KM（含10KM），按1.8元/m3•KM计；</w:t>
            </w:r>
            <w:r>
              <w:rPr>
                <w:rFonts w:ascii="宋体" w:hAnsi="宋体" w:cs="宋体"/>
                <w:kern w:val="0"/>
                <w:szCs w:val="21"/>
              </w:rPr>
              <w:br w:type="textWrapping"/>
            </w:r>
            <w:r>
              <w:rPr>
                <w:rFonts w:ascii="宋体" w:hAnsi="宋体" w:cs="宋体"/>
                <w:kern w:val="0"/>
                <w:szCs w:val="21"/>
              </w:rPr>
              <w:t>C：增加运距在10KM（不含10KM）以上，按市场价重新核价。</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7.</w:t>
            </w:r>
            <w:r>
              <w:rPr>
                <w:rFonts w:hint="eastAsia" w:ascii="宋体" w:hAnsi="宋体" w:cs="宋体"/>
                <w:kern w:val="0"/>
                <w:szCs w:val="21"/>
              </w:rPr>
              <w:t>安全文明施工费按2018年《重庆市建设工程费用定额》相关规定</w:t>
            </w:r>
            <w:r>
              <w:rPr>
                <w:rFonts w:ascii="宋体" w:hAnsi="宋体" w:cs="宋体"/>
                <w:kern w:val="0"/>
                <w:szCs w:val="21"/>
              </w:rPr>
              <w:t>合格标准进行结算。安全文明施工综合评定结果为不合格的，不计取该项费用。</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8.</w:t>
            </w:r>
            <w:r>
              <w:rPr>
                <w:rFonts w:hint="eastAsia" w:ascii="宋体" w:hAnsi="宋体" w:cs="宋体"/>
                <w:kern w:val="0"/>
                <w:szCs w:val="21"/>
              </w:rPr>
              <w:t>规费按竞标费率进行计取，若竞标费率高于法律法规及现行费用定额规定的费率，则以法律法规及现行费用定额规定的费率计取。</w:t>
            </w:r>
          </w:p>
          <w:p>
            <w:pPr>
              <w:snapToGrid w:val="0"/>
              <w:spacing w:line="440" w:lineRule="exact"/>
              <w:ind w:firstLine="420" w:firstLineChars="200"/>
              <w:jc w:val="left"/>
              <w:rPr>
                <w:rFonts w:ascii="宋体" w:hAnsi="宋体" w:cs="宋体"/>
                <w:kern w:val="0"/>
                <w:szCs w:val="21"/>
              </w:rPr>
            </w:pPr>
            <w:r>
              <w:rPr>
                <w:rFonts w:ascii="宋体" w:hAnsi="宋体" w:cs="宋体"/>
                <w:kern w:val="0"/>
                <w:szCs w:val="21"/>
              </w:rPr>
              <w:t>10.</w:t>
            </w:r>
            <w:r>
              <w:rPr>
                <w:rFonts w:hint="eastAsia" w:ascii="宋体" w:hAnsi="宋体" w:cs="宋体"/>
                <w:kern w:val="0"/>
                <w:szCs w:val="21"/>
              </w:rPr>
              <w:t>销项税额按竞标报价、费率进行计取，若高于渝建发</w:t>
            </w:r>
            <w:r>
              <w:rPr>
                <w:rFonts w:ascii="宋体" w:hAnsi="宋体" w:cs="宋体"/>
                <w:kern w:val="0"/>
                <w:szCs w:val="21"/>
              </w:rPr>
              <w:t>[2019]143号文规定按文件计取；进项税额按</w:t>
            </w:r>
            <w:r>
              <w:rPr>
                <w:rFonts w:hint="eastAsia" w:ascii="宋体" w:hAnsi="宋体" w:cs="宋体"/>
                <w:kern w:val="0"/>
                <w:szCs w:val="21"/>
              </w:rPr>
              <w:t>竞标报价、</w:t>
            </w:r>
            <w:r>
              <w:rPr>
                <w:rFonts w:ascii="宋体" w:hAnsi="宋体" w:cs="宋体"/>
                <w:kern w:val="0"/>
                <w:szCs w:val="21"/>
              </w:rPr>
              <w:t>费率进行计取，若</w:t>
            </w:r>
            <w:r>
              <w:rPr>
                <w:rFonts w:hint="eastAsia" w:ascii="宋体" w:hAnsi="宋体" w:cs="宋体"/>
                <w:kern w:val="0"/>
                <w:szCs w:val="21"/>
              </w:rPr>
              <w:t>低于渝建发</w:t>
            </w:r>
            <w:r>
              <w:rPr>
                <w:rFonts w:ascii="宋体" w:hAnsi="宋体" w:cs="宋体"/>
                <w:kern w:val="0"/>
                <w:szCs w:val="21"/>
              </w:rPr>
              <w:t>[2019]143号文规定按文件计取。</w:t>
            </w:r>
          </w:p>
          <w:p>
            <w:pPr>
              <w:widowControl/>
              <w:adjustRightInd w:val="0"/>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10.最终竣工结算以审计部门审定为准。</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变更估价原则</w:t>
            </w:r>
          </w:p>
          <w:p>
            <w:pPr>
              <w:widowControl/>
              <w:adjustRightInd w:val="0"/>
              <w:snapToGrid w:val="0"/>
              <w:spacing w:line="440" w:lineRule="exact"/>
              <w:ind w:firstLine="420" w:firstLineChars="200"/>
              <w:jc w:val="left"/>
              <w:rPr>
                <w:rFonts w:ascii="宋体" w:hAnsi="宋体" w:cs="宋体"/>
                <w:kern w:val="0"/>
                <w:szCs w:val="21"/>
              </w:rPr>
            </w:pPr>
            <w:r>
              <w:rPr>
                <w:rFonts w:ascii="宋体" w:hAnsi="宋体" w:cs="宋体"/>
                <w:kern w:val="0"/>
                <w:szCs w:val="21"/>
              </w:rPr>
              <w:t>1.1</w:t>
            </w:r>
            <w:r>
              <w:rPr>
                <w:rFonts w:hint="eastAsia" w:ascii="宋体" w:hAnsi="宋体" w:cs="宋体"/>
                <w:kern w:val="0"/>
                <w:szCs w:val="21"/>
              </w:rPr>
              <w:t>己标价工程量清单中有适用于变更工作的子目的，采用该子目的单价。</w:t>
            </w:r>
          </w:p>
          <w:p>
            <w:pPr>
              <w:widowControl/>
              <w:adjustRightInd w:val="0"/>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1.2.己标价工程量清单中无适用于变更工作的子目，但有类似子目的，可在合理范围内参照类似子目的单价。</w:t>
            </w:r>
          </w:p>
          <w:p>
            <w:pPr>
              <w:widowControl/>
              <w:adjustRightInd w:val="0"/>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1.3.己标价工程量清单中无适用或类似子目的单价，则按以下原则确定：</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1）这部分按《建设工程工程量清单计价规范》（GB50500-2013）、《重庆市建设工程工程量清单计价规则》（CQJJGZ-2013）、《重庆市建设工程工程量计算规则》（CQJLGZ-2013）</w:t>
            </w:r>
            <w:r>
              <w:rPr>
                <w:rFonts w:hint="eastAsia" w:ascii="宋体" w:hAnsi="宋体" w:cs="宋体"/>
                <w:kern w:val="0"/>
                <w:szCs w:val="21"/>
              </w:rPr>
              <w:t>、《重庆市房屋建筑与装饰工程计价定额》CQJZZSDE-2018、《重庆市仿古建筑工程计价定额》CQFGDE-2018、《重庆市通用安装工程计价定额》CQAZDE-2018、《重庆市市政工程计价定额》 CQSZDE</w:t>
            </w:r>
            <w:r>
              <w:rPr>
                <w:rFonts w:ascii="宋体" w:hAnsi="宋体" w:cs="宋体"/>
                <w:kern w:val="0"/>
                <w:szCs w:val="21"/>
              </w:rPr>
              <w:t>-</w:t>
            </w:r>
            <w:r>
              <w:rPr>
                <w:rFonts w:hint="eastAsia" w:ascii="宋体" w:hAnsi="宋体" w:cs="宋体"/>
                <w:kern w:val="0"/>
                <w:szCs w:val="21"/>
              </w:rPr>
              <w:t>2018、《重庆市园林绿化工程计价定额》CQYLLHDE</w:t>
            </w:r>
            <w:r>
              <w:rPr>
                <w:rFonts w:ascii="宋体" w:hAnsi="宋体" w:cs="宋体"/>
                <w:kern w:val="0"/>
                <w:szCs w:val="21"/>
              </w:rPr>
              <w:t>-</w:t>
            </w:r>
            <w:r>
              <w:rPr>
                <w:rFonts w:hint="eastAsia" w:ascii="宋体" w:hAnsi="宋体" w:cs="宋体"/>
                <w:kern w:val="0"/>
                <w:szCs w:val="21"/>
              </w:rPr>
              <w:t>2018、《重庆市构筑物工程计价定额》 CQGZWDE-2018、《重庆市城市轨道交通工程计价定额》CQGDDE-2018、《重庆市爆破工程计价定额》CQBPDE-2018、《重庆市房屋修缮工程计价定额》CQXSDE</w:t>
            </w:r>
            <w:r>
              <w:rPr>
                <w:rFonts w:ascii="宋体" w:hAnsi="宋体" w:cs="宋体"/>
                <w:kern w:val="0"/>
                <w:szCs w:val="21"/>
              </w:rPr>
              <w:t>-</w:t>
            </w:r>
            <w:r>
              <w:rPr>
                <w:rFonts w:hint="eastAsia" w:ascii="宋体" w:hAnsi="宋体" w:cs="宋体"/>
                <w:kern w:val="0"/>
                <w:szCs w:val="21"/>
              </w:rPr>
              <w:t>2018、《重庆市绿色建筑工程计价定额》 CQLSJZDE</w:t>
            </w:r>
            <w:r>
              <w:rPr>
                <w:rFonts w:ascii="宋体" w:hAnsi="宋体" w:cs="宋体"/>
                <w:kern w:val="0"/>
                <w:szCs w:val="21"/>
              </w:rPr>
              <w:t>-</w:t>
            </w:r>
            <w:r>
              <w:rPr>
                <w:rFonts w:hint="eastAsia" w:ascii="宋体" w:hAnsi="宋体" w:cs="宋体"/>
                <w:kern w:val="0"/>
                <w:szCs w:val="21"/>
              </w:rPr>
              <w:t>201</w:t>
            </w:r>
            <w:r>
              <w:rPr>
                <w:rFonts w:ascii="宋体" w:hAnsi="宋体" w:cs="宋体"/>
                <w:kern w:val="0"/>
                <w:szCs w:val="21"/>
              </w:rPr>
              <w:t>8</w:t>
            </w:r>
            <w:r>
              <w:rPr>
                <w:rFonts w:hint="eastAsia" w:ascii="宋体" w:hAnsi="宋体" w:cs="宋体"/>
                <w:kern w:val="0"/>
                <w:szCs w:val="21"/>
              </w:rPr>
              <w:t>、《重庆市建设工程</w:t>
            </w:r>
            <w:r>
              <w:rPr>
                <w:rFonts w:ascii="宋体" w:hAnsi="宋体" w:cs="宋体"/>
                <w:kern w:val="0"/>
                <w:szCs w:val="21"/>
              </w:rPr>
              <w:t>费用定额</w:t>
            </w:r>
            <w:r>
              <w:rPr>
                <w:rFonts w:hint="eastAsia" w:ascii="宋体" w:hAnsi="宋体" w:cs="宋体"/>
                <w:kern w:val="0"/>
                <w:szCs w:val="21"/>
              </w:rPr>
              <w:t>》 CQ</w:t>
            </w:r>
            <w:r>
              <w:rPr>
                <w:rFonts w:ascii="宋体" w:hAnsi="宋体" w:cs="宋体"/>
                <w:kern w:val="0"/>
                <w:szCs w:val="21"/>
              </w:rPr>
              <w:t>FYDE-</w:t>
            </w:r>
            <w:r>
              <w:rPr>
                <w:rFonts w:hint="eastAsia" w:ascii="宋体" w:hAnsi="宋体" w:cs="宋体"/>
                <w:kern w:val="0"/>
                <w:szCs w:val="21"/>
              </w:rPr>
              <w:t>2018、《重庆市建设工程施工机械台班定额》CQJXDE</w:t>
            </w:r>
            <w:r>
              <w:rPr>
                <w:rFonts w:ascii="宋体" w:hAnsi="宋体" w:cs="宋体"/>
                <w:kern w:val="0"/>
                <w:szCs w:val="21"/>
              </w:rPr>
              <w:t>-</w:t>
            </w:r>
            <w:r>
              <w:rPr>
                <w:rFonts w:hint="eastAsia" w:ascii="宋体" w:hAnsi="宋体" w:cs="宋体"/>
                <w:kern w:val="0"/>
                <w:szCs w:val="21"/>
              </w:rPr>
              <w:t>2018、《重庆市建设工程施工仪器仪表台班定额》CQYQYBDE-2018、《重庆市建设工程混凝土及砂浆配合比表》CQPHBB-2018、《住房城乡建设部办公厅关于重新调整建设工程计价依据增值税税率的通知》（建办标函【</w:t>
            </w:r>
            <w:r>
              <w:rPr>
                <w:rFonts w:ascii="宋体" w:hAnsi="宋体" w:cs="宋体"/>
                <w:kern w:val="0"/>
                <w:szCs w:val="21"/>
              </w:rPr>
              <w:t>2019】193号）、《重庆市住房和城乡建设委员会关于开展建设施工现场形象品质提升行动计取安全文明施工费的通知》（</w:t>
            </w:r>
            <w:r>
              <w:rPr>
                <w:rFonts w:hint="eastAsia" w:ascii="宋体" w:hAnsi="宋体" w:cs="宋体"/>
                <w:kern w:val="0"/>
                <w:szCs w:val="21"/>
              </w:rPr>
              <w:t>渝建【</w:t>
            </w:r>
            <w:r>
              <w:rPr>
                <w:rFonts w:ascii="宋体" w:hAnsi="宋体" w:cs="宋体"/>
                <w:kern w:val="0"/>
                <w:szCs w:val="21"/>
              </w:rPr>
              <w:t>2018】69号）</w:t>
            </w:r>
            <w:r>
              <w:rPr>
                <w:rFonts w:hint="eastAsia" w:ascii="宋体" w:hAnsi="宋体" w:cs="宋体"/>
                <w:kern w:val="0"/>
                <w:szCs w:val="21"/>
              </w:rPr>
              <w:t>及配套文件编制。</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2）上述计价定额缺项时，可借用其它行业相关定额或编制补充定额。补充定额的消耗量应借用相关行业定额或现场实测，定额人工、定额材料、定额施工机具使用</w:t>
            </w:r>
            <w:r>
              <w:rPr>
                <w:rFonts w:hint="eastAsia" w:ascii="宋体" w:hAnsi="宋体" w:cs="宋体"/>
                <w:kern w:val="0"/>
                <w:szCs w:val="21"/>
              </w:rPr>
              <w:t>执行前述（</w:t>
            </w:r>
            <w:r>
              <w:rPr>
                <w:rFonts w:ascii="宋体" w:hAnsi="宋体" w:cs="宋体"/>
                <w:kern w:val="0"/>
                <w:szCs w:val="21"/>
              </w:rPr>
              <w:t>1）条所列定额的价格，如相关材料和机械无对应定额价格，按市场价的50%进入基价并取费率。</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人工、材料单价的确定原则</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人工、材料单价按竞标报价中相同专业的人工、材料单价的低值执行［若竞标报价的人工单价高于竞标当期《重庆工程造价信息》公布中的人工价格，则按造价信息价格执行（如有区间取中间值）；若竞标报价中材料单价高于造价信息的由发包人根据市场行情认质核价］；竞标报价中没有的人工单价按照竞标当期《重庆工程造价信息》公布的价格执行（如有区间取中间值）；竞标报价中没有的材料单价由发包人根据市场行情认质核价（可参考竞标当期《重庆工程造价信息》各区县主要材料价格）。</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4）管理费和利润按</w:t>
            </w:r>
            <w:r>
              <w:rPr>
                <w:rFonts w:hint="eastAsia" w:ascii="宋体" w:hAnsi="宋体" w:cs="宋体"/>
                <w:kern w:val="0"/>
                <w:szCs w:val="21"/>
              </w:rPr>
              <w:t>竞标</w:t>
            </w:r>
            <w:r>
              <w:rPr>
                <w:rFonts w:ascii="宋体" w:hAnsi="宋体" w:cs="宋体"/>
                <w:kern w:val="0"/>
                <w:szCs w:val="21"/>
              </w:rPr>
              <w:t>报价中相同分部的最低费率执行，高于费用定额标准的，按费用定额执行。</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5）根据市场行情，对于需要采用市场综合单价（包括但不限于招标清单中</w:t>
            </w:r>
            <w:r>
              <w:rPr>
                <w:rFonts w:hint="eastAsia" w:ascii="宋体" w:hAnsi="宋体" w:cs="宋体"/>
                <w:kern w:val="0"/>
                <w:szCs w:val="21"/>
              </w:rPr>
              <w:t>全费用包干单价表中子项，如平基土石方、地基强夯、旋挖桩成孔、沥青路面、交通标线、</w:t>
            </w:r>
            <w:r>
              <w:rPr>
                <w:rFonts w:ascii="宋体" w:hAnsi="宋体" w:cs="宋体"/>
                <w:kern w:val="0"/>
                <w:szCs w:val="21"/>
              </w:rPr>
              <w:t>成品门窗、</w:t>
            </w:r>
            <w:r>
              <w:rPr>
                <w:rFonts w:hint="eastAsia" w:ascii="宋体" w:hAnsi="宋体" w:cs="宋体"/>
                <w:kern w:val="0"/>
                <w:szCs w:val="21"/>
              </w:rPr>
              <w:t>撞死幕墙</w:t>
            </w:r>
            <w:r>
              <w:rPr>
                <w:rFonts w:ascii="宋体" w:hAnsi="宋体" w:cs="宋体"/>
                <w:kern w:val="0"/>
                <w:szCs w:val="21"/>
              </w:rPr>
              <w:t>等</w:t>
            </w:r>
            <w:r>
              <w:rPr>
                <w:rFonts w:hint="eastAsia" w:ascii="宋体" w:hAnsi="宋体" w:cs="宋体"/>
                <w:kern w:val="0"/>
                <w:szCs w:val="21"/>
              </w:rPr>
              <w:t>）的，在发生变更新增单价的情况下，按市场行情以全费用综合包干单价方式组价，并经监理审核后，报发包人核价审批。若新增子目属于两江新区管委会应急工程限价计价原则中全费用总和包干单价表列明的子目，采取全费用组价方式，中标价相对于限价下浮超过</w:t>
            </w:r>
            <w:r>
              <w:rPr>
                <w:rFonts w:ascii="宋体" w:hAnsi="宋体" w:cs="宋体"/>
                <w:kern w:val="0"/>
                <w:szCs w:val="21"/>
              </w:rPr>
              <w:t>5%的，采用表中的单价按照超出5%的比例同比下浮（例如中标下浮比例为8%，则采用表中单价下浮为3%）。</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中标清单中无适用或类似子目的新增单价，按招标限价编制的计价原则进行组价，同时按竞标报价与限价的比例同比例下浮。经建设单位、监理单位及跟踪审计单位（如有）共同审核认定后通过。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firstLineChars="100"/>
              <w:rPr>
                <w:rFonts w:ascii="宋体" w:hAnsi="宋体" w:cs="宋体"/>
                <w:szCs w:val="21"/>
              </w:rPr>
            </w:pPr>
            <w:r>
              <w:rPr>
                <w:rFonts w:hint="eastAsia" w:ascii="宋体" w:hAnsi="宋体" w:cs="宋体"/>
                <w:szCs w:val="21"/>
              </w:rPr>
              <w:t>10.2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MingLiU"/>
                <w:kern w:val="0"/>
                <w:sz w:val="18"/>
                <w:szCs w:val="18"/>
              </w:rPr>
            </w:pPr>
            <w:r>
              <w:rPr>
                <w:rFonts w:hint="eastAsia" w:ascii="宋体" w:hAnsi="宋体"/>
                <w:kern w:val="0"/>
                <w:szCs w:val="21"/>
              </w:rPr>
              <w:t>进度款支付</w:t>
            </w:r>
          </w:p>
        </w:tc>
        <w:tc>
          <w:tcPr>
            <w:tcW w:w="7143" w:type="dxa"/>
            <w:tcBorders>
              <w:top w:val="single" w:color="auto" w:sz="4" w:space="0"/>
              <w:left w:val="single" w:color="auto" w:sz="4" w:space="0"/>
              <w:bottom w:val="single" w:color="auto" w:sz="4" w:space="0"/>
              <w:right w:val="single" w:color="auto" w:sz="4" w:space="0"/>
            </w:tcBorders>
            <w:vAlign w:val="center"/>
          </w:tcPr>
          <w:p>
            <w:pPr>
              <w:pStyle w:val="121"/>
              <w:spacing w:line="560" w:lineRule="exact"/>
              <w:rPr>
                <w:rFonts w:ascii="仿宋" w:hAnsi="仿宋" w:eastAsia="仿宋"/>
                <w:bCs/>
                <w:sz w:val="28"/>
                <w:szCs w:val="28"/>
              </w:rPr>
            </w:pPr>
            <w:r>
              <w:rPr>
                <w:rFonts w:hint="eastAsia" w:ascii="宋体" w:hAnsi="宋体" w:cs="宋体"/>
                <w:kern w:val="0"/>
                <w:szCs w:val="21"/>
              </w:rPr>
              <w:t>（1）安全文明施工专项费：按现行建设工程安全文明施工费管理的有关规定及合同条款规定执行。</w:t>
            </w:r>
          </w:p>
          <w:p>
            <w:pPr>
              <w:adjustRightInd w:val="0"/>
              <w:snapToGrid w:val="0"/>
              <w:spacing w:line="400" w:lineRule="exact"/>
              <w:ind w:firstLine="315" w:firstLineChars="150"/>
              <w:rPr>
                <w:rFonts w:ascii="宋体" w:hAnsi="宋体" w:cs="宋体"/>
                <w:kern w:val="0"/>
                <w:szCs w:val="21"/>
              </w:rPr>
            </w:pPr>
            <w:r>
              <w:rPr>
                <w:rFonts w:hint="eastAsia" w:ascii="宋体" w:hAnsi="宋体" w:cs="宋体"/>
                <w:kern w:val="0"/>
                <w:szCs w:val="21"/>
              </w:rPr>
              <w:t>（2）措施费、规费、税金支付：按承包人当月实际完成的合格工作量乘以相应综合单价所得价款占分部分项工程价款总和的比例，以本合同价中的措施费、规费、税金为基数，同分部分项工程款比例进行支付。</w:t>
            </w:r>
          </w:p>
          <w:p>
            <w:pPr>
              <w:widowControl/>
              <w:autoSpaceDE w:val="0"/>
              <w:autoSpaceDN w:val="0"/>
              <w:adjustRightInd w:val="0"/>
              <w:spacing w:before="16"/>
              <w:ind w:firstLine="315" w:firstLineChars="150"/>
              <w:jc w:val="left"/>
              <w:outlineLvl w:val="2"/>
              <w:rPr>
                <w:rFonts w:ascii="宋体" w:hAnsi="宋体"/>
                <w:kern w:val="0"/>
                <w:szCs w:val="21"/>
              </w:rPr>
            </w:pPr>
            <w:r>
              <w:rPr>
                <w:rFonts w:hint="eastAsia" w:ascii="宋体" w:hAnsi="宋体" w:cs="宋体"/>
                <w:kern w:val="0"/>
                <w:szCs w:val="21"/>
              </w:rPr>
              <w:t>（3）A.市政（房建）进度款支付方式：</w:t>
            </w:r>
            <w:r>
              <w:rPr>
                <w:rFonts w:hint="eastAsia" w:ascii="宋体" w:hAnsi="宋体" w:cs="宋体"/>
                <w:szCs w:val="21"/>
                <w:shd w:val="clear" w:color="auto" w:fill="FFFFFF"/>
              </w:rPr>
              <w:t>承包人按规定时间报送进度报表、上个月农民工工资支付表（表格附后）、进度付款申请单等相关资料，经监理人审查，报发包人审批后，按当月产值（含措施费、规费）的70%作为进度款支付（必须将工程价款的人工费（工资款）与其他工程款相分离、发包人拨付人工费(工资款)比例不低于当月产值的25%，若人工费数额大于当月已完工产值的25%时，按实际人工费数额拨付 ，并将人工费单独拨付至乙方的工资专用账户。），发包人于审定后14个日历天内支付承包人。设计变更及增加的工作内容引起价款增加且双方无争议的，在变更令发出后，增加的价款仍按70%进度款支付。</w:t>
            </w:r>
            <w:r>
              <w:rPr>
                <w:rFonts w:hint="eastAsia" w:ascii="宋体" w:hAnsi="宋体" w:cs="宋体"/>
                <w:szCs w:val="21"/>
              </w:rPr>
              <w:br w:type="textWrapping"/>
            </w:r>
            <w:r>
              <w:rPr>
                <w:rFonts w:hint="eastAsia" w:ascii="宋体" w:hAnsi="宋体" w:cs="宋体"/>
                <w:szCs w:val="21"/>
                <w:shd w:val="clear" w:color="auto" w:fill="FFFFFF"/>
              </w:rPr>
              <w:t xml:space="preserve">    竣（完）工验收合格，完成档案资料移交并经发包人确认后支付至已完工程（含已确认费用的工程变更）的80%。</w:t>
            </w:r>
            <w:r>
              <w:rPr>
                <w:rFonts w:hint="eastAsia" w:ascii="宋体" w:hAnsi="宋体" w:cs="宋体"/>
                <w:szCs w:val="21"/>
              </w:rPr>
              <w:br w:type="textWrapping"/>
            </w:r>
            <w:r>
              <w:rPr>
                <w:rFonts w:hint="eastAsia" w:ascii="宋体" w:hAnsi="宋体" w:cs="宋体"/>
                <w:szCs w:val="21"/>
                <w:shd w:val="clear" w:color="auto" w:fill="FFFFFF"/>
              </w:rPr>
              <w:t xml:space="preserve">    承包人在规定的期限提交合格、完整的结算资料，发包人委托有资质的工程造价咨询单位办理工程造价咨询，出具经发包人认可的造价咨询报告书后，付至造价咨询单位出具的造价咨询报告审核金额的85%，</w:t>
            </w:r>
            <w:r>
              <w:rPr>
                <w:rFonts w:hint="eastAsia" w:ascii="宋体" w:hAnsi="宋体"/>
                <w:kern w:val="0"/>
                <w:szCs w:val="21"/>
              </w:rPr>
              <w:t>若前期已超额支付，则承包人应在收到发包人退款通知之日起5个工作日内退还超额部分的本金及利息</w:t>
            </w:r>
            <w:r>
              <w:rPr>
                <w:rFonts w:hint="eastAsia" w:ascii="宋体" w:hAnsi="宋体" w:cs="宋体"/>
                <w:szCs w:val="21"/>
                <w:shd w:val="clear" w:color="auto" w:fill="FFFFFF"/>
              </w:rPr>
              <w:t>。之后通过重庆两江新区开发投资集团有限公司（以下简称“两江投资集团”）或重庆两江新区审计局或重庆两江新区财政投资评审中心或重庆市审计局结算审计报告审定金额的97%，留审计报告审定金额的3%作质保金，</w:t>
            </w:r>
            <w:r>
              <w:rPr>
                <w:rFonts w:hint="eastAsia" w:ascii="宋体" w:hAnsi="宋体"/>
                <w:kern w:val="0"/>
                <w:szCs w:val="21"/>
              </w:rPr>
              <w:t>若前期已支付金额出现超额，则承包人应在收到发包人退款通知之日起5个工作日内退还超额部分的本金及利息。</w:t>
            </w:r>
            <w:r>
              <w:rPr>
                <w:rFonts w:hint="eastAsia" w:ascii="宋体" w:hAnsi="宋体" w:cs="宋体"/>
                <w:szCs w:val="21"/>
                <w:shd w:val="clear" w:color="auto" w:fill="FFFFFF"/>
              </w:rPr>
              <w:t>若项目被抽取为国家级行政审计机关审计项目,承包人须全力配合审计工作，</w:t>
            </w:r>
            <w:r>
              <w:rPr>
                <w:rFonts w:hint="eastAsia" w:ascii="宋体" w:hAnsi="宋体"/>
                <w:kern w:val="0"/>
                <w:szCs w:val="21"/>
              </w:rPr>
              <w:t>根据国家级行政审计机关的审计结果，若前期已支付金额出现超额，则承包人应在收到发包人退款通知之日起5个工作日内退还超额部分的本金及利息。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p>
          <w:p>
            <w:pPr>
              <w:adjustRightInd w:val="0"/>
              <w:snapToGrid w:val="0"/>
              <w:spacing w:line="400" w:lineRule="exact"/>
              <w:ind w:firstLine="315" w:firstLineChars="150"/>
              <w:rPr>
                <w:rFonts w:ascii="宋体" w:hAnsi="宋体" w:cs="宋体"/>
                <w:kern w:val="0"/>
                <w:szCs w:val="21"/>
              </w:rPr>
            </w:pPr>
            <w:r>
              <w:rPr>
                <w:rFonts w:hint="eastAsia" w:ascii="宋体" w:hAnsi="宋体" w:cs="宋体"/>
                <w:kern w:val="0"/>
                <w:szCs w:val="21"/>
              </w:rPr>
              <w:t xml:space="preserve">    质保金缺陷责任期满后若承包人无违约行为，则一次性退还给承包人，不计利息。</w:t>
            </w:r>
          </w:p>
          <w:p>
            <w:pPr>
              <w:adjustRightInd w:val="0"/>
              <w:snapToGrid w:val="0"/>
              <w:spacing w:line="400" w:lineRule="exact"/>
              <w:ind w:firstLine="315" w:firstLineChars="150"/>
              <w:rPr>
                <w:rFonts w:ascii="宋体" w:hAnsi="宋体" w:cs="宋体"/>
                <w:kern w:val="0"/>
                <w:szCs w:val="21"/>
              </w:rPr>
            </w:pPr>
            <w:r>
              <w:rPr>
                <w:rFonts w:hint="eastAsia" w:ascii="宋体" w:hAnsi="宋体" w:cs="宋体"/>
                <w:kern w:val="0"/>
                <w:szCs w:val="21"/>
              </w:rPr>
              <w:t>承包人迟延报送竣工结算每迟延一天，发包人有权要求承包人按合同价款的</w:t>
            </w:r>
            <w:r>
              <w:rPr>
                <w:rFonts w:hint="eastAsia" w:ascii="宋体" w:hAnsi="宋体" w:cs="宋体"/>
                <w:szCs w:val="21"/>
                <w:u w:val="single"/>
              </w:rPr>
              <w:t>0.06‰</w:t>
            </w:r>
            <w:r>
              <w:rPr>
                <w:rFonts w:hint="eastAsia" w:ascii="宋体" w:hAnsi="宋体" w:cs="宋体"/>
                <w:kern w:val="0"/>
                <w:szCs w:val="21"/>
              </w:rPr>
              <w:t>一天向发包人支付违约金。在两江审计局或两江集团或重庆市或国家级等上级审计机关审计过程中，承包人应按审计要求，配合提供相关资料。若承包人迟延，则每迟延一天报送竣工结算，发包人有权要求承包人按合同价款的</w:t>
            </w:r>
            <w:r>
              <w:rPr>
                <w:rFonts w:hint="eastAsia" w:ascii="宋体" w:hAnsi="宋体" w:cs="宋体"/>
                <w:szCs w:val="21"/>
                <w:u w:val="single"/>
              </w:rPr>
              <w:t>0.06‰</w:t>
            </w:r>
            <w:r>
              <w:rPr>
                <w:rFonts w:hint="eastAsia" w:ascii="宋体" w:hAnsi="宋体" w:cs="宋体"/>
                <w:kern w:val="0"/>
                <w:szCs w:val="21"/>
              </w:rPr>
              <w:t>一天向发包人支付违约金。</w:t>
            </w:r>
          </w:p>
          <w:p>
            <w:pPr>
              <w:spacing w:line="400" w:lineRule="exact"/>
              <w:ind w:right="48" w:rightChars="23" w:firstLine="420" w:firstLineChars="200"/>
              <w:jc w:val="left"/>
              <w:rPr>
                <w:rFonts w:ascii="宋体" w:hAnsi="宋体" w:cs="宋体"/>
                <w:kern w:val="0"/>
                <w:szCs w:val="21"/>
              </w:rPr>
            </w:pPr>
            <w:r>
              <w:rPr>
                <w:rFonts w:hint="eastAsia" w:ascii="宋体" w:hAnsi="宋体" w:cs="宋体"/>
                <w:kern w:val="0"/>
                <w:szCs w:val="21"/>
              </w:rPr>
              <w:t>农民工工资专用账户管理及银行代发制度。承包人须设立农民工工资专用账户，并为农民工办理实名制工资支付银行卡（简称“工资卡”）。工资卡一人一卡，一张平安卡对应一张工资卡。</w:t>
            </w:r>
          </w:p>
          <w:p>
            <w:pPr>
              <w:spacing w:line="400" w:lineRule="exact"/>
              <w:ind w:right="48" w:rightChars="23" w:firstLine="420" w:firstLineChars="200"/>
              <w:jc w:val="left"/>
              <w:rPr>
                <w:rFonts w:ascii="宋体" w:hAnsi="宋体" w:cs="宋体"/>
                <w:kern w:val="0"/>
                <w:szCs w:val="21"/>
              </w:rPr>
            </w:pPr>
            <w:r>
              <w:rPr>
                <w:rFonts w:hint="eastAsia" w:ascii="宋体" w:hAnsi="宋体" w:cs="宋体"/>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作为延期支付人工费的理由。</w:t>
            </w:r>
          </w:p>
          <w:p>
            <w:pPr>
              <w:adjustRightInd w:val="0"/>
              <w:snapToGrid w:val="0"/>
              <w:spacing w:line="400" w:lineRule="exact"/>
              <w:ind w:firstLine="525" w:firstLineChars="250"/>
              <w:rPr>
                <w:rFonts w:ascii="宋体" w:hAnsi="宋体" w:cs="宋体"/>
                <w:kern w:val="0"/>
                <w:szCs w:val="21"/>
              </w:rPr>
            </w:pPr>
            <w:r>
              <w:rPr>
                <w:rFonts w:hint="eastAsia" w:ascii="宋体" w:hAnsi="宋体" w:cs="宋体"/>
                <w:kern w:val="0"/>
                <w:szCs w:val="21"/>
              </w:rPr>
              <w:t>B.</w:t>
            </w:r>
            <w:r>
              <w:rPr>
                <w:rFonts w:hint="eastAsia" w:ascii="宋体" w:hAnsi="宋体" w:cs="宋体"/>
                <w:szCs w:val="21"/>
              </w:rPr>
              <w:t>绿化进度款支付方式：承包人按规定时间报送进度报表，经监理人审查签证，报发包人审批后，支付当月进度的60%，于次月支付承包人。设计变更及增加的工作内容引起价款增加且双方无争议的，增加的价款仍按60%进度款支付。完工验收合格工程进度款支付至实际完成产值的65%时（但不得超过该部分合同价款的65%）。竣工验收合格、完成资料交档，并报送完整的结算资料，</w:t>
            </w:r>
            <w:r>
              <w:rPr>
                <w:rFonts w:hint="eastAsia" w:ascii="宋体" w:hAnsi="宋体" w:cs="宋体"/>
                <w:kern w:val="0"/>
                <w:szCs w:val="21"/>
              </w:rPr>
              <w:t>发包人委托有资质的工程造价咨询资质单位出具结算审核报告后（即一审），付至造价咨询单位出具的结算审核报告金额（即一审）的75%，已支付金额多退少补。通过两江新区审计局或两江集团结算审计（即二审）后，付至两江审计局或两江集团结算审计报告金额（即二审）的97%，留两江审计局或两江集团结算审计报告金额（即二审）的3%作质保金，已支付金额多退少补。两江审计局或两江集团结算审计报告已出具且保修期满后一周内，无息付清质保金。</w:t>
            </w:r>
          </w:p>
          <w:p>
            <w:pPr>
              <w:adjustRightInd w:val="0"/>
              <w:snapToGrid w:val="0"/>
              <w:spacing w:line="400" w:lineRule="exact"/>
              <w:ind w:firstLine="315" w:firstLineChars="150"/>
              <w:rPr>
                <w:rFonts w:ascii="宋体" w:hAnsi="宋体" w:cs="宋体"/>
                <w:kern w:val="0"/>
                <w:szCs w:val="21"/>
              </w:rPr>
            </w:pPr>
            <w:r>
              <w:rPr>
                <w:rFonts w:hint="eastAsia" w:ascii="宋体" w:hAnsi="宋体" w:cs="宋体"/>
                <w:kern w:val="0"/>
                <w:szCs w:val="21"/>
              </w:rPr>
              <w:t>（4）根据产值开具增值税专用发票，发包人取得合规的发票后才支付款项。若承包人开具的发票不规范、不合法或涉嫌虚开，承包人不仅要承担赔偿责任，而且必须按约定开具合法发票。</w:t>
            </w:r>
            <w:r>
              <w:rPr>
                <w:rFonts w:hint="eastAsia" w:ascii="宋体" w:hAnsi="宋体" w:cs="宋体"/>
                <w:kern w:val="0"/>
                <w:szCs w:val="21"/>
              </w:rPr>
              <w:br w:type="textWrapping"/>
            </w:r>
            <w:r>
              <w:rPr>
                <w:rFonts w:hint="eastAsia" w:ascii="宋体" w:hAnsi="宋体" w:cs="宋体"/>
                <w:kern w:val="0"/>
                <w:szCs w:val="21"/>
              </w:rPr>
              <w:t xml:space="preserve">  （5）质保金的开票，承包人在质保金被扣留时，需要开具增值税专用发票送达发包人，发包人确认后对结算审计尾款（不含质保金）进行支付。</w:t>
            </w:r>
          </w:p>
          <w:p>
            <w:pPr>
              <w:adjustRightInd w:val="0"/>
              <w:snapToGrid w:val="0"/>
              <w:spacing w:line="400" w:lineRule="exact"/>
              <w:ind w:firstLine="315" w:firstLineChars="150"/>
              <w:rPr>
                <w:rFonts w:ascii="宋体" w:hAnsi="宋体" w:cs="宋体"/>
              </w:rPr>
            </w:pPr>
            <w:r>
              <w:rPr>
                <w:rFonts w:hint="eastAsia" w:ascii="宋体" w:hAnsi="宋体" w:cs="宋体"/>
              </w:rPr>
              <w:t>（6）施工单位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kern w:val="0"/>
                <w:szCs w:val="21"/>
              </w:rPr>
              <w:t>10.3</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r>
              <w:rPr>
                <w:rFonts w:hint="eastAsia" w:ascii="宋体" w:hAnsi="宋体"/>
                <w:kern w:val="0"/>
                <w:szCs w:val="21"/>
              </w:rPr>
              <w:t>低价风险担保</w:t>
            </w:r>
          </w:p>
          <w:p>
            <w:pPr>
              <w:snapToGrid w:val="0"/>
              <w:spacing w:line="400" w:lineRule="exact"/>
              <w:jc w:val="center"/>
              <w:rPr>
                <w:rFonts w:ascii="宋体" w:hAnsi="宋体"/>
                <w:kern w:val="0"/>
                <w:szCs w:val="21"/>
              </w:rPr>
            </w:pPr>
            <w:r>
              <w:rPr>
                <w:rFonts w:hint="eastAsia" w:ascii="宋体" w:hAnsi="宋体"/>
                <w:kern w:val="0"/>
                <w:szCs w:val="21"/>
              </w:rPr>
              <w:t>（采用经评审的最低竞标价法适用）</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1、低价风险担保：中标价低于最高限价的85%时提供，如不按时足额提供，视为中标人放弃中标，比选人有权不退还其竞标保证金，招标投标行政监督部门应当按照信用管理办法的规定，对中标人的不良行为直接记12分，纳入重点关注名单。</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2、中标人提供低价风险担保的形式、金额及期限：</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）低价风险担保的形式：现金或不可撤销的见索即付银行保函；</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）低价风险担保的金额：（最高限价×</w:t>
            </w:r>
            <w:r>
              <w:rPr>
                <w:rFonts w:ascii="宋体" w:hAnsi="宋体"/>
                <w:kern w:val="0"/>
                <w:szCs w:val="21"/>
              </w:rPr>
              <w:t>85%-</w:t>
            </w:r>
            <w:r>
              <w:rPr>
                <w:rFonts w:hint="eastAsia" w:ascii="宋体" w:hAnsi="宋体"/>
                <w:kern w:val="0"/>
                <w:szCs w:val="21"/>
              </w:rPr>
              <w:t>中标价）□1</w:t>
            </w:r>
            <w:r>
              <w:rPr>
                <w:rFonts w:hint="eastAsia" w:ascii="宋体" w:hAnsi="宋体"/>
                <w:kern w:val="0"/>
                <w:szCs w:val="21"/>
              </w:rPr>
              <w:sym w:font="Wingdings" w:char="00FE"/>
            </w:r>
            <w:r>
              <w:rPr>
                <w:rFonts w:hint="eastAsia" w:ascii="宋体" w:hAnsi="宋体"/>
                <w:kern w:val="0"/>
                <w:szCs w:val="21"/>
              </w:rPr>
              <w:t>2□3）；</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）低价风险担保的提交时间：</w:t>
            </w:r>
            <w:r>
              <w:rPr>
                <w:rFonts w:ascii="宋体" w:hAnsi="宋体"/>
                <w:kern w:val="0"/>
                <w:szCs w:val="21"/>
              </w:rPr>
              <w:t>中标候选人须在收到</w:t>
            </w:r>
            <w:r>
              <w:rPr>
                <w:rFonts w:hint="eastAsia" w:ascii="宋体" w:hAnsi="宋体"/>
                <w:kern w:val="0"/>
                <w:szCs w:val="21"/>
              </w:rPr>
              <w:t>比选人</w:t>
            </w:r>
            <w:r>
              <w:rPr>
                <w:rFonts w:ascii="宋体" w:hAnsi="宋体"/>
                <w:kern w:val="0"/>
                <w:szCs w:val="21"/>
              </w:rPr>
              <w:t>发出的低价风险担保书面通知后</w:t>
            </w:r>
            <w:r>
              <w:rPr>
                <w:rFonts w:hint="eastAsia" w:ascii="宋体" w:hAnsi="宋体"/>
                <w:kern w:val="0"/>
                <w:szCs w:val="21"/>
              </w:rPr>
              <w:t>后</w:t>
            </w:r>
            <w:r>
              <w:rPr>
                <w:rFonts w:ascii="宋体" w:hAnsi="宋体"/>
                <w:kern w:val="0"/>
                <w:szCs w:val="21"/>
              </w:rPr>
              <w:t>10</w:t>
            </w:r>
            <w:r>
              <w:rPr>
                <w:rFonts w:hint="eastAsia" w:ascii="宋体" w:hAnsi="宋体"/>
                <w:kern w:val="0"/>
                <w:szCs w:val="21"/>
              </w:rPr>
              <w:t>个工作日内，中标人按担保金额向比选人提交低价风险担保；</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（4）中标人因自身原因未按中标通知书规定的时限与比选人签订合同的，比选人有权扣除其低价风险担保并取消中标资格。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（5）低价风险担保的期限：自提交低价风险担保之日起至竣工验收合格之日止。</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（6）</w:t>
            </w:r>
            <w:r>
              <w:rPr>
                <w:rFonts w:ascii="宋体" w:hAnsi="宋体"/>
                <w:kern w:val="0"/>
                <w:szCs w:val="21"/>
              </w:rPr>
              <w:t>中标通知书发出后，中标候选人拒不提交或者在约定期限内未按要求提交低价风险担保，</w:t>
            </w:r>
            <w:r>
              <w:rPr>
                <w:rFonts w:hint="eastAsia" w:ascii="宋体" w:hAnsi="宋体"/>
                <w:kern w:val="0"/>
                <w:szCs w:val="21"/>
              </w:rPr>
              <w:t>比选人</w:t>
            </w:r>
            <w:r>
              <w:rPr>
                <w:rFonts w:ascii="宋体" w:hAnsi="宋体"/>
                <w:kern w:val="0"/>
                <w:szCs w:val="21"/>
              </w:rPr>
              <w:t>将撤销中标通知书，取消其中标资格，</w:t>
            </w:r>
            <w:r>
              <w:rPr>
                <w:rFonts w:hint="eastAsia" w:ascii="宋体" w:hAnsi="宋体"/>
                <w:kern w:val="0"/>
                <w:szCs w:val="21"/>
              </w:rPr>
              <w:t>竞标保证金</w:t>
            </w:r>
            <w:r>
              <w:rPr>
                <w:rFonts w:ascii="宋体" w:hAnsi="宋体"/>
                <w:kern w:val="0"/>
                <w:szCs w:val="21"/>
              </w:rPr>
              <w:t>不予退还，给</w:t>
            </w:r>
            <w:r>
              <w:rPr>
                <w:rFonts w:hint="eastAsia" w:ascii="宋体" w:hAnsi="宋体"/>
                <w:kern w:val="0"/>
                <w:szCs w:val="21"/>
              </w:rPr>
              <w:t>比选人</w:t>
            </w:r>
            <w:r>
              <w:rPr>
                <w:rFonts w:ascii="宋体" w:hAnsi="宋体"/>
                <w:kern w:val="0"/>
                <w:szCs w:val="21"/>
              </w:rPr>
              <w:t>的损失超过</w:t>
            </w:r>
            <w:r>
              <w:rPr>
                <w:rFonts w:hint="eastAsia" w:ascii="宋体" w:hAnsi="宋体"/>
                <w:kern w:val="0"/>
                <w:szCs w:val="21"/>
              </w:rPr>
              <w:t>竞标保证金</w:t>
            </w:r>
            <w:r>
              <w:rPr>
                <w:rFonts w:ascii="宋体" w:hAnsi="宋体"/>
                <w:kern w:val="0"/>
                <w:szCs w:val="21"/>
              </w:rPr>
              <w:t>数额的，中标候选人或中标人应对超过部分予以赔偿。</w:t>
            </w:r>
            <w:r>
              <w:rPr>
                <w:rFonts w:hint="eastAsia" w:ascii="宋体" w:hAnsi="宋体"/>
                <w:kern w:val="0"/>
                <w:szCs w:val="21"/>
              </w:rPr>
              <w:t>竞标人</w:t>
            </w:r>
            <w:r>
              <w:rPr>
                <w:rFonts w:ascii="宋体" w:hAnsi="宋体"/>
                <w:kern w:val="0"/>
                <w:szCs w:val="21"/>
              </w:rPr>
              <w:t>应对上述</w:t>
            </w:r>
            <w:r>
              <w:rPr>
                <w:rFonts w:hint="eastAsia" w:ascii="宋体" w:hAnsi="宋体"/>
                <w:kern w:val="0"/>
                <w:szCs w:val="21"/>
              </w:rPr>
              <w:t>比选要求</w:t>
            </w:r>
            <w:r>
              <w:rPr>
                <w:rFonts w:ascii="宋体" w:hAnsi="宋体"/>
                <w:kern w:val="0"/>
                <w:szCs w:val="21"/>
              </w:rPr>
              <w:t>在</w:t>
            </w:r>
            <w:r>
              <w:rPr>
                <w:rFonts w:hint="eastAsia" w:ascii="宋体" w:hAnsi="宋体"/>
                <w:kern w:val="0"/>
                <w:szCs w:val="21"/>
              </w:rPr>
              <w:t>竞标文件</w:t>
            </w:r>
            <w:r>
              <w:rPr>
                <w:rFonts w:ascii="宋体" w:hAnsi="宋体"/>
                <w:kern w:val="0"/>
                <w:szCs w:val="21"/>
              </w:rPr>
              <w:t>中无条件予以响应。</w:t>
            </w:r>
          </w:p>
          <w:p>
            <w:pPr>
              <w:widowControl/>
              <w:spacing w:line="400" w:lineRule="exact"/>
              <w:ind w:firstLine="420" w:firstLineChars="200"/>
              <w:rPr>
                <w:rFonts w:ascii="宋体" w:hAnsi="宋体"/>
              </w:rPr>
            </w:pPr>
            <w:r>
              <w:rPr>
                <w:rFonts w:hint="eastAsia" w:ascii="宋体" w:hAnsi="宋体"/>
                <w:kern w:val="0"/>
                <w:szCs w:val="21"/>
              </w:rPr>
              <w:t>3、低价风险担保的退还时间：见专用合同条款。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10.4</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szCs w:val="21"/>
              </w:rPr>
            </w:pPr>
            <w:r>
              <w:rPr>
                <w:rFonts w:hint="eastAsia" w:ascii="宋体" w:hAnsi="宋体" w:cs="宋体"/>
                <w:szCs w:val="21"/>
              </w:rPr>
              <w:t>竞标人须知前附表内容与正文不一致时以竞标人须知前附表为准。</w:t>
            </w:r>
          </w:p>
        </w:tc>
      </w:tr>
    </w:tbl>
    <w:p>
      <w:pPr>
        <w:widowControl/>
        <w:spacing w:line="288" w:lineRule="auto"/>
        <w:jc w:val="left"/>
        <w:rPr>
          <w:rFonts w:ascii="宋体" w:hAnsi="宋体" w:cs="MingLiU"/>
          <w:b/>
          <w:kern w:val="0"/>
          <w:szCs w:val="21"/>
        </w:rPr>
        <w:sectPr>
          <w:footerReference r:id="rId5" w:type="default"/>
          <w:pgSz w:w="11907" w:h="16839"/>
          <w:pgMar w:top="1480" w:right="1247" w:bottom="992" w:left="1247" w:header="720" w:footer="720" w:gutter="0"/>
          <w:pgNumType w:fmt="numberInDash"/>
          <w:cols w:space="720" w:num="1"/>
          <w:docGrid w:type="lines" w:linePitch="312" w:charSpace="0"/>
        </w:sectPr>
      </w:pPr>
    </w:p>
    <w:bookmarkEnd w:id="0"/>
    <w:p>
      <w:pPr>
        <w:widowControl/>
        <w:snapToGrid w:val="0"/>
        <w:spacing w:line="400" w:lineRule="exact"/>
        <w:jc w:val="left"/>
        <w:outlineLvl w:val="2"/>
        <w:rPr>
          <w:rFonts w:ascii="宋体" w:hAnsi="宋体" w:cs="宋体"/>
          <w:b/>
          <w:bCs/>
          <w:snapToGrid w:val="0"/>
          <w:kern w:val="0"/>
          <w:szCs w:val="21"/>
        </w:rPr>
      </w:pPr>
      <w:bookmarkStart w:id="38" w:name="_Toc291847018"/>
      <w:bookmarkStart w:id="39" w:name="_Toc54249438"/>
      <w:bookmarkStart w:id="40" w:name="_Toc200513126"/>
      <w:bookmarkStart w:id="41" w:name="_Toc6279"/>
      <w:r>
        <w:rPr>
          <w:rFonts w:hint="eastAsia" w:ascii="宋体" w:hAnsi="宋体" w:cs="宋体"/>
          <w:b/>
          <w:bCs/>
          <w:snapToGrid w:val="0"/>
          <w:kern w:val="0"/>
          <w:szCs w:val="21"/>
        </w:rPr>
        <w:t>1.  总则</w:t>
      </w:r>
      <w:bookmarkEnd w:id="38"/>
      <w:bookmarkEnd w:id="39"/>
      <w:bookmarkEnd w:id="40"/>
      <w:bookmarkEnd w:id="41"/>
    </w:p>
    <w:p>
      <w:pPr>
        <w:widowControl/>
        <w:snapToGrid w:val="0"/>
        <w:spacing w:line="400" w:lineRule="exact"/>
        <w:jc w:val="left"/>
        <w:outlineLvl w:val="2"/>
        <w:rPr>
          <w:rFonts w:ascii="宋体" w:hAnsi="宋体" w:cs="宋体"/>
          <w:b/>
          <w:bCs/>
          <w:snapToGrid w:val="0"/>
          <w:kern w:val="0"/>
          <w:szCs w:val="21"/>
        </w:rPr>
      </w:pPr>
      <w:bookmarkStart w:id="42" w:name="_Toc54249439"/>
      <w:bookmarkStart w:id="43" w:name="_Toc291847019"/>
      <w:bookmarkStart w:id="44" w:name="_Toc3173"/>
      <w:bookmarkStart w:id="45" w:name="_Toc200513127"/>
      <w:r>
        <w:rPr>
          <w:rFonts w:hint="eastAsia" w:ascii="宋体" w:hAnsi="宋体" w:cs="宋体"/>
          <w:b/>
          <w:bCs/>
          <w:snapToGrid w:val="0"/>
          <w:kern w:val="0"/>
          <w:szCs w:val="21"/>
        </w:rPr>
        <w:t>1.1  项目概况</w:t>
      </w:r>
      <w:bookmarkEnd w:id="42"/>
      <w:bookmarkEnd w:id="43"/>
      <w:bookmarkEnd w:id="44"/>
      <w:bookmarkEnd w:id="45"/>
    </w:p>
    <w:p>
      <w:pPr>
        <w:autoSpaceDE w:val="0"/>
        <w:autoSpaceDN w:val="0"/>
        <w:adjustRightInd w:val="0"/>
        <w:snapToGrid w:val="0"/>
        <w:spacing w:line="400" w:lineRule="exact"/>
        <w:ind w:firstLine="357" w:firstLineChars="170"/>
        <w:jc w:val="left"/>
        <w:rPr>
          <w:rFonts w:ascii="宋体" w:hAnsi="宋体" w:cs="宋体"/>
          <w:snapToGrid w:val="0"/>
          <w:kern w:val="0"/>
          <w:szCs w:val="21"/>
        </w:rPr>
      </w:pPr>
      <w:r>
        <w:rPr>
          <w:rFonts w:hint="eastAsia" w:ascii="宋体" w:hAnsi="宋体" w:cs="宋体"/>
          <w:snapToGrid w:val="0"/>
          <w:kern w:val="0"/>
          <w:szCs w:val="21"/>
        </w:rPr>
        <w:t>1.1.1  根据《中华人民共和国招标投标法》等有关法律、法规和规章的规定，本招标项目已具备招标条件，现对本标段施工进行招标。</w:t>
      </w:r>
    </w:p>
    <w:p>
      <w:pPr>
        <w:autoSpaceDE w:val="0"/>
        <w:autoSpaceDN w:val="0"/>
        <w:adjustRightInd w:val="0"/>
        <w:snapToGrid w:val="0"/>
        <w:spacing w:line="400" w:lineRule="exact"/>
        <w:ind w:firstLine="357" w:firstLineChars="170"/>
        <w:jc w:val="left"/>
        <w:rPr>
          <w:rFonts w:ascii="宋体" w:hAnsi="宋体" w:cs="宋体"/>
          <w:snapToGrid w:val="0"/>
          <w:kern w:val="0"/>
          <w:szCs w:val="21"/>
        </w:rPr>
      </w:pPr>
      <w:r>
        <w:rPr>
          <w:rFonts w:hint="eastAsia" w:ascii="宋体" w:hAnsi="宋体" w:cs="宋体"/>
          <w:snapToGrid w:val="0"/>
          <w:kern w:val="0"/>
          <w:szCs w:val="21"/>
        </w:rPr>
        <w:t>1.1.2  本招标项目比选人：见竞标人须知前附表。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1.1.3  本标段比选代理机构：见竞标人须知前附表。</w:t>
      </w:r>
    </w:p>
    <w:p>
      <w:pPr>
        <w:widowControl/>
        <w:snapToGrid w:val="0"/>
        <w:spacing w:line="400" w:lineRule="exact"/>
        <w:jc w:val="left"/>
        <w:outlineLvl w:val="2"/>
        <w:rPr>
          <w:rFonts w:ascii="宋体" w:hAnsi="宋体" w:cs="宋体"/>
          <w:b/>
          <w:bCs/>
          <w:snapToGrid w:val="0"/>
          <w:kern w:val="0"/>
          <w:szCs w:val="21"/>
        </w:rPr>
      </w:pPr>
      <w:bookmarkStart w:id="46" w:name="_Toc27129"/>
      <w:bookmarkStart w:id="47" w:name="_Toc291847020"/>
      <w:bookmarkStart w:id="48" w:name="_Toc200513128"/>
      <w:bookmarkStart w:id="49" w:name="_Toc54249440"/>
      <w:r>
        <w:rPr>
          <w:rFonts w:hint="eastAsia" w:ascii="宋体" w:hAnsi="宋体" w:cs="宋体"/>
          <w:b/>
          <w:bCs/>
          <w:snapToGrid w:val="0"/>
          <w:kern w:val="0"/>
          <w:szCs w:val="21"/>
        </w:rPr>
        <w:t>1.2  资金来源</w:t>
      </w:r>
      <w:bookmarkEnd w:id="46"/>
      <w:bookmarkEnd w:id="47"/>
      <w:bookmarkEnd w:id="48"/>
      <w:bookmarkEnd w:id="49"/>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1.2.1  本招标项目的资金来源：见竞标人须知前附表。</w:t>
      </w:r>
    </w:p>
    <w:p>
      <w:pPr>
        <w:widowControl/>
        <w:snapToGrid w:val="0"/>
        <w:spacing w:line="400" w:lineRule="exact"/>
        <w:jc w:val="left"/>
        <w:outlineLvl w:val="2"/>
        <w:rPr>
          <w:rFonts w:ascii="宋体" w:hAnsi="宋体" w:cs="宋体"/>
          <w:b/>
          <w:bCs/>
          <w:snapToGrid w:val="0"/>
          <w:kern w:val="0"/>
          <w:szCs w:val="21"/>
        </w:rPr>
      </w:pPr>
      <w:bookmarkStart w:id="50" w:name="_Toc291847021"/>
      <w:bookmarkStart w:id="51" w:name="_Toc200513129"/>
      <w:bookmarkStart w:id="52" w:name="_Toc54249441"/>
      <w:bookmarkStart w:id="53" w:name="_Toc1951"/>
      <w:r>
        <w:rPr>
          <w:rFonts w:hint="eastAsia" w:ascii="宋体" w:hAnsi="宋体" w:cs="宋体"/>
          <w:b/>
          <w:bCs/>
          <w:snapToGrid w:val="0"/>
          <w:kern w:val="0"/>
          <w:szCs w:val="21"/>
        </w:rPr>
        <w:t>1.3  招标范围、计划工期和质量要求</w:t>
      </w:r>
      <w:bookmarkEnd w:id="50"/>
      <w:bookmarkEnd w:id="51"/>
      <w:bookmarkEnd w:id="52"/>
      <w:bookmarkEnd w:id="53"/>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1.3.1  本次招标范围：见竞标人须知前附表。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1.3.2  本标段的计划工期：见竞标人须知前附表。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1.3.3  本标段的质量要求：见竞标人须知前附表。</w:t>
      </w:r>
    </w:p>
    <w:p>
      <w:pPr>
        <w:widowControl/>
        <w:snapToGrid w:val="0"/>
        <w:spacing w:line="400" w:lineRule="exact"/>
        <w:jc w:val="left"/>
        <w:outlineLvl w:val="2"/>
        <w:rPr>
          <w:rFonts w:ascii="宋体" w:hAnsi="宋体" w:cs="宋体"/>
          <w:b/>
          <w:bCs/>
          <w:snapToGrid w:val="0"/>
          <w:kern w:val="0"/>
          <w:szCs w:val="21"/>
        </w:rPr>
      </w:pPr>
      <w:bookmarkStart w:id="54" w:name="_Toc9659"/>
      <w:bookmarkStart w:id="55" w:name="_Toc54249442"/>
      <w:bookmarkStart w:id="56" w:name="_Toc291847022"/>
      <w:bookmarkStart w:id="57" w:name="_Toc200513131"/>
      <w:r>
        <w:rPr>
          <w:rFonts w:hint="eastAsia" w:ascii="宋体" w:hAnsi="宋体" w:cs="宋体"/>
          <w:b/>
          <w:bCs/>
          <w:snapToGrid w:val="0"/>
          <w:kern w:val="0"/>
          <w:szCs w:val="21"/>
        </w:rPr>
        <w:t>1.4  竞标人资格要求</w:t>
      </w:r>
      <w:bookmarkEnd w:id="54"/>
      <w:bookmarkEnd w:id="55"/>
      <w:bookmarkEnd w:id="56"/>
      <w:bookmarkEnd w:id="57"/>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1.4.1 竞标人应具备承担本标段施工的资质条件、能力和信誉：见竞标人须知前附表。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1.4.2本项目不接受联合体竞标。</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1.4.3  竞标人不得存在下列情形之一：</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position w:val="-2"/>
          <w:szCs w:val="21"/>
        </w:rPr>
        <w:t>（1）与比选人存在利害关系可能影响招标公正性的法人、其他组织或者个人；</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（2）为本标段前期准备提供设计或咨询服务的，但设计施工总承包的除外；</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（3）为本标段的监理人；</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（4）为本标段的代建人；</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（5）为本标段提供比选代理服务的；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（6）与本标段的监理人或代建人或比选代理机构同为一个法定代表人的；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（7）与本标段的监理人或代建人或比选代理机构相互控股或参股的；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（8）与本标段的监理人或代建人或比选代理机构相互任职或工作的；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（9）被责令停业的；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（10）被暂停或取消竞标资格的；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（11）财产被接管或冻结的；</w:t>
      </w:r>
    </w:p>
    <w:p>
      <w:pPr>
        <w:autoSpaceDE w:val="0"/>
        <w:autoSpaceDN w:val="0"/>
        <w:adjustRightInd w:val="0"/>
        <w:snapToGrid w:val="0"/>
        <w:spacing w:line="400" w:lineRule="exact"/>
        <w:ind w:firstLine="359" w:firstLineChars="171"/>
        <w:jc w:val="left"/>
        <w:rPr>
          <w:rFonts w:ascii="宋体" w:hAnsi="宋体" w:cs="宋体"/>
          <w:snapToGrid w:val="0"/>
          <w:kern w:val="0"/>
          <w:szCs w:val="21"/>
        </w:rPr>
      </w:pPr>
      <w:r>
        <w:rPr>
          <w:rFonts w:hint="eastAsia" w:ascii="宋体" w:hAnsi="宋体" w:cs="宋体"/>
          <w:snapToGrid w:val="0"/>
          <w:kern w:val="0"/>
          <w:szCs w:val="21"/>
        </w:rPr>
        <w:t>（12）单位负责人为同一人或者存在控股、管理关系的不同单位，不得在同一标段中同时竞标。</w:t>
      </w:r>
    </w:p>
    <w:p>
      <w:pPr>
        <w:widowControl/>
        <w:snapToGrid w:val="0"/>
        <w:spacing w:line="400" w:lineRule="exact"/>
        <w:jc w:val="left"/>
        <w:outlineLvl w:val="2"/>
        <w:rPr>
          <w:rFonts w:ascii="宋体" w:hAnsi="宋体" w:cs="宋体"/>
          <w:b/>
          <w:bCs/>
          <w:snapToGrid w:val="0"/>
          <w:kern w:val="0"/>
          <w:szCs w:val="21"/>
        </w:rPr>
      </w:pPr>
      <w:bookmarkStart w:id="58" w:name="_Toc291847023"/>
      <w:bookmarkStart w:id="59" w:name="_Toc200513132"/>
      <w:bookmarkStart w:id="60" w:name="_Toc22446"/>
      <w:bookmarkStart w:id="61" w:name="_Toc54249443"/>
      <w:r>
        <w:rPr>
          <w:rFonts w:hint="eastAsia" w:ascii="宋体" w:hAnsi="宋体" w:cs="宋体"/>
          <w:b/>
          <w:bCs/>
          <w:snapToGrid w:val="0"/>
          <w:kern w:val="0"/>
          <w:szCs w:val="21"/>
        </w:rPr>
        <w:t>1.5  费用承担</w:t>
      </w:r>
      <w:bookmarkEnd w:id="58"/>
      <w:bookmarkEnd w:id="59"/>
      <w:bookmarkEnd w:id="60"/>
      <w:bookmarkEnd w:id="61"/>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竞标人准备和参加竞标活动发生的费用自理。</w:t>
      </w:r>
    </w:p>
    <w:p>
      <w:pPr>
        <w:widowControl/>
        <w:snapToGrid w:val="0"/>
        <w:spacing w:line="400" w:lineRule="exact"/>
        <w:jc w:val="left"/>
        <w:outlineLvl w:val="2"/>
        <w:rPr>
          <w:rFonts w:ascii="宋体" w:hAnsi="宋体" w:cs="宋体"/>
          <w:b/>
          <w:bCs/>
          <w:snapToGrid w:val="0"/>
          <w:kern w:val="0"/>
          <w:szCs w:val="21"/>
        </w:rPr>
      </w:pPr>
      <w:bookmarkStart w:id="62" w:name="_Toc291847024"/>
      <w:bookmarkStart w:id="63" w:name="_Toc54249444"/>
      <w:bookmarkStart w:id="64" w:name="_Toc200513133"/>
      <w:bookmarkStart w:id="65" w:name="_Toc2224"/>
      <w:r>
        <w:rPr>
          <w:rFonts w:hint="eastAsia" w:ascii="宋体" w:hAnsi="宋体" w:cs="宋体"/>
          <w:b/>
          <w:bCs/>
          <w:snapToGrid w:val="0"/>
          <w:kern w:val="0"/>
          <w:szCs w:val="21"/>
        </w:rPr>
        <w:t>1.6  保密</w:t>
      </w:r>
      <w:bookmarkEnd w:id="62"/>
      <w:bookmarkEnd w:id="63"/>
      <w:bookmarkEnd w:id="64"/>
      <w:bookmarkEnd w:id="65"/>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参与招标投标活动的各方应对比选文件和竞标文件中的商业和技术等秘密保密，违者应对由此造成的后果承担法律责任。</w:t>
      </w:r>
    </w:p>
    <w:p>
      <w:pPr>
        <w:widowControl/>
        <w:snapToGrid w:val="0"/>
        <w:spacing w:line="400" w:lineRule="exact"/>
        <w:jc w:val="left"/>
        <w:outlineLvl w:val="2"/>
        <w:rPr>
          <w:rFonts w:ascii="宋体" w:hAnsi="宋体" w:cs="宋体"/>
          <w:b/>
          <w:bCs/>
          <w:snapToGrid w:val="0"/>
          <w:kern w:val="0"/>
          <w:szCs w:val="21"/>
        </w:rPr>
      </w:pPr>
      <w:bookmarkStart w:id="66" w:name="_Toc291847025"/>
      <w:bookmarkStart w:id="67" w:name="_Toc200513134"/>
      <w:bookmarkStart w:id="68" w:name="_Toc7689"/>
      <w:bookmarkStart w:id="69" w:name="_Toc54249445"/>
      <w:r>
        <w:rPr>
          <w:rFonts w:hint="eastAsia" w:ascii="宋体" w:hAnsi="宋体" w:cs="宋体"/>
          <w:b/>
          <w:bCs/>
          <w:snapToGrid w:val="0"/>
          <w:kern w:val="0"/>
          <w:szCs w:val="21"/>
        </w:rPr>
        <w:t>1.7  语言文字</w:t>
      </w:r>
      <w:bookmarkEnd w:id="66"/>
      <w:bookmarkEnd w:id="67"/>
      <w:bookmarkEnd w:id="68"/>
      <w:bookmarkEnd w:id="69"/>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除专用术语外，与招标投标有关的语言均使用中文。必要时专用术语应附有中文注释。</w:t>
      </w:r>
    </w:p>
    <w:p>
      <w:pPr>
        <w:widowControl/>
        <w:snapToGrid w:val="0"/>
        <w:spacing w:line="400" w:lineRule="exact"/>
        <w:jc w:val="left"/>
        <w:outlineLvl w:val="2"/>
        <w:rPr>
          <w:rFonts w:ascii="宋体" w:hAnsi="宋体" w:cs="宋体"/>
          <w:b/>
          <w:bCs/>
          <w:snapToGrid w:val="0"/>
          <w:kern w:val="0"/>
          <w:szCs w:val="21"/>
        </w:rPr>
      </w:pPr>
      <w:bookmarkStart w:id="70" w:name="_Toc291847026"/>
      <w:bookmarkStart w:id="71" w:name="_Toc200513135"/>
      <w:bookmarkStart w:id="72" w:name="_Toc54249446"/>
      <w:bookmarkStart w:id="73" w:name="_Toc11790"/>
      <w:r>
        <w:rPr>
          <w:rFonts w:hint="eastAsia" w:ascii="宋体" w:hAnsi="宋体" w:cs="宋体"/>
          <w:b/>
          <w:bCs/>
          <w:snapToGrid w:val="0"/>
          <w:kern w:val="0"/>
          <w:szCs w:val="21"/>
        </w:rPr>
        <w:t>1.8  计量单位</w:t>
      </w:r>
      <w:bookmarkEnd w:id="70"/>
      <w:bookmarkEnd w:id="71"/>
      <w:bookmarkEnd w:id="72"/>
      <w:bookmarkEnd w:id="73"/>
    </w:p>
    <w:p>
      <w:pPr>
        <w:autoSpaceDE w:val="0"/>
        <w:autoSpaceDN w:val="0"/>
        <w:adjustRightInd w:val="0"/>
        <w:snapToGrid w:val="0"/>
        <w:spacing w:line="400" w:lineRule="exact"/>
        <w:ind w:firstLine="424" w:firstLineChars="202"/>
        <w:jc w:val="left"/>
        <w:rPr>
          <w:rFonts w:ascii="宋体" w:hAnsi="宋体" w:cs="宋体"/>
          <w:snapToGrid w:val="0"/>
          <w:kern w:val="0"/>
          <w:szCs w:val="21"/>
        </w:rPr>
      </w:pPr>
      <w:r>
        <w:rPr>
          <w:rFonts w:hint="eastAsia" w:ascii="宋体" w:hAnsi="宋体" w:cs="宋体"/>
          <w:snapToGrid w:val="0"/>
          <w:kern w:val="0"/>
          <w:szCs w:val="21"/>
        </w:rPr>
        <w:t>所有计量均采用中华人民共和国法定计量单位。</w:t>
      </w:r>
    </w:p>
    <w:p>
      <w:pPr>
        <w:widowControl/>
        <w:snapToGrid w:val="0"/>
        <w:spacing w:line="400" w:lineRule="exact"/>
        <w:jc w:val="left"/>
        <w:outlineLvl w:val="2"/>
        <w:rPr>
          <w:rFonts w:ascii="宋体" w:hAnsi="宋体" w:cs="宋体"/>
          <w:b/>
          <w:bCs/>
          <w:snapToGrid w:val="0"/>
          <w:kern w:val="0"/>
          <w:szCs w:val="21"/>
        </w:rPr>
      </w:pPr>
      <w:bookmarkStart w:id="74" w:name="_Toc54249447"/>
      <w:bookmarkStart w:id="75" w:name="_Toc291847027"/>
      <w:bookmarkStart w:id="76" w:name="_Toc200513136"/>
      <w:bookmarkStart w:id="77" w:name="_Toc29253"/>
      <w:r>
        <w:rPr>
          <w:rFonts w:hint="eastAsia" w:ascii="宋体" w:hAnsi="宋体" w:cs="宋体"/>
          <w:b/>
          <w:bCs/>
          <w:snapToGrid w:val="0"/>
          <w:kern w:val="0"/>
          <w:szCs w:val="21"/>
        </w:rPr>
        <w:t>1.9  踏勘现场</w:t>
      </w:r>
      <w:bookmarkEnd w:id="74"/>
      <w:bookmarkEnd w:id="75"/>
      <w:bookmarkEnd w:id="76"/>
      <w:bookmarkEnd w:id="77"/>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1.9.1 详见竞标人须知前附表。</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1.9.2 竞标人踏勘现场发生的费用自理。</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1.9.3 除比选人的原因外，竞标人自行负责在踏勘现场中发生的人员伤亡和财产损失。</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1.9.4 比选人在踏勘现场中介绍的工程场地和相关周边环境情况，供竞标人在编制竞标文件时参考，比选人不对竞标人据此作出的判断和决策负责。</w:t>
      </w:r>
    </w:p>
    <w:p>
      <w:pPr>
        <w:widowControl/>
        <w:snapToGrid w:val="0"/>
        <w:spacing w:line="400" w:lineRule="exact"/>
        <w:jc w:val="left"/>
        <w:outlineLvl w:val="2"/>
        <w:rPr>
          <w:rFonts w:ascii="宋体" w:hAnsi="宋体" w:cs="宋体"/>
          <w:b/>
          <w:bCs/>
          <w:snapToGrid w:val="0"/>
          <w:kern w:val="0"/>
          <w:szCs w:val="21"/>
        </w:rPr>
      </w:pPr>
      <w:bookmarkStart w:id="78" w:name="_Toc54249448"/>
      <w:bookmarkStart w:id="79" w:name="_Toc200513137"/>
      <w:bookmarkStart w:id="80" w:name="_Toc23424"/>
      <w:bookmarkStart w:id="81" w:name="_Toc291847028"/>
      <w:r>
        <w:rPr>
          <w:rFonts w:hint="eastAsia" w:ascii="宋体" w:hAnsi="宋体" w:cs="宋体"/>
          <w:b/>
          <w:bCs/>
          <w:snapToGrid w:val="0"/>
          <w:kern w:val="0"/>
          <w:szCs w:val="21"/>
        </w:rPr>
        <w:t xml:space="preserve">1.10  </w:t>
      </w:r>
      <w:bookmarkStart w:id="82" w:name="OLE_LINK1"/>
      <w:r>
        <w:rPr>
          <w:rFonts w:hint="eastAsia" w:ascii="宋体" w:hAnsi="宋体" w:cs="宋体"/>
          <w:b/>
          <w:bCs/>
          <w:snapToGrid w:val="0"/>
          <w:kern w:val="0"/>
          <w:szCs w:val="21"/>
        </w:rPr>
        <w:t>竞标预备会</w:t>
      </w:r>
      <w:bookmarkEnd w:id="78"/>
      <w:bookmarkEnd w:id="79"/>
      <w:bookmarkEnd w:id="80"/>
      <w:bookmarkEnd w:id="81"/>
      <w:bookmarkEnd w:id="82"/>
    </w:p>
    <w:p>
      <w:pPr>
        <w:autoSpaceDE w:val="0"/>
        <w:autoSpaceDN w:val="0"/>
        <w:adjustRightInd w:val="0"/>
        <w:snapToGrid w:val="0"/>
        <w:spacing w:line="400" w:lineRule="exact"/>
        <w:ind w:firstLine="420"/>
        <w:jc w:val="left"/>
        <w:rPr>
          <w:rFonts w:ascii="宋体" w:hAnsi="宋体" w:cs="宋体"/>
          <w:snapToGrid w:val="0"/>
          <w:kern w:val="0"/>
          <w:szCs w:val="21"/>
        </w:rPr>
      </w:pPr>
      <w:bookmarkStart w:id="83" w:name="_Toc200513138"/>
      <w:bookmarkStart w:id="84" w:name="_Toc291847029"/>
      <w:bookmarkStart w:id="85" w:name="_Toc1562"/>
      <w:r>
        <w:rPr>
          <w:rFonts w:hint="eastAsia" w:ascii="宋体" w:hAnsi="宋体" w:cs="宋体"/>
          <w:snapToGrid w:val="0"/>
          <w:kern w:val="0"/>
          <w:szCs w:val="21"/>
        </w:rPr>
        <w:t>本项目不组织竞标预备会。</w:t>
      </w:r>
    </w:p>
    <w:p>
      <w:pPr>
        <w:widowControl/>
        <w:snapToGrid w:val="0"/>
        <w:spacing w:line="400" w:lineRule="exact"/>
        <w:jc w:val="left"/>
        <w:outlineLvl w:val="2"/>
        <w:rPr>
          <w:rFonts w:ascii="宋体" w:hAnsi="宋体" w:cs="宋体"/>
          <w:b/>
          <w:bCs/>
          <w:snapToGrid w:val="0"/>
          <w:kern w:val="0"/>
          <w:szCs w:val="21"/>
        </w:rPr>
      </w:pPr>
      <w:bookmarkStart w:id="86" w:name="_Toc54249449"/>
      <w:r>
        <w:rPr>
          <w:rFonts w:hint="eastAsia" w:ascii="宋体" w:hAnsi="宋体" w:cs="宋体"/>
          <w:b/>
          <w:bCs/>
          <w:snapToGrid w:val="0"/>
          <w:kern w:val="0"/>
          <w:szCs w:val="21"/>
        </w:rPr>
        <w:t>1.11  分包</w:t>
      </w:r>
      <w:bookmarkEnd w:id="83"/>
      <w:bookmarkEnd w:id="84"/>
      <w:bookmarkEnd w:id="85"/>
      <w:bookmarkEnd w:id="86"/>
    </w:p>
    <w:p>
      <w:pPr>
        <w:autoSpaceDE w:val="0"/>
        <w:autoSpaceDN w:val="0"/>
        <w:adjustRightInd w:val="0"/>
        <w:snapToGrid w:val="0"/>
        <w:spacing w:line="400" w:lineRule="exact"/>
        <w:ind w:firstLine="420"/>
        <w:jc w:val="left"/>
        <w:rPr>
          <w:rFonts w:ascii="宋体" w:hAnsi="宋体" w:cs="宋体"/>
          <w:snapToGrid w:val="0"/>
          <w:kern w:val="0"/>
          <w:szCs w:val="21"/>
        </w:rPr>
      </w:pPr>
      <w:bookmarkStart w:id="87" w:name="_Toc325636592"/>
      <w:bookmarkStart w:id="88" w:name="_Toc309559431"/>
      <w:bookmarkStart w:id="89" w:name="_Toc310094625"/>
      <w:bookmarkStart w:id="90" w:name="_Toc309558761"/>
      <w:bookmarkStart w:id="91" w:name="_Toc317863434"/>
      <w:bookmarkStart w:id="92" w:name="_Toc291847030"/>
      <w:bookmarkStart w:id="93" w:name="_Toc200513139"/>
      <w:bookmarkStart w:id="94" w:name="_Toc31641"/>
      <w:r>
        <w:rPr>
          <w:rFonts w:hint="eastAsia" w:ascii="宋体" w:hAnsi="宋体" w:cs="宋体"/>
          <w:snapToGrid w:val="0"/>
          <w:kern w:val="0"/>
          <w:szCs w:val="21"/>
        </w:rPr>
        <w:t>详见竞标人须知前附表。</w:t>
      </w:r>
      <w:bookmarkEnd w:id="87"/>
      <w:bookmarkEnd w:id="88"/>
      <w:bookmarkEnd w:id="89"/>
      <w:bookmarkEnd w:id="90"/>
      <w:bookmarkEnd w:id="91"/>
    </w:p>
    <w:p>
      <w:pPr>
        <w:widowControl/>
        <w:snapToGrid w:val="0"/>
        <w:spacing w:line="400" w:lineRule="exact"/>
        <w:jc w:val="left"/>
        <w:outlineLvl w:val="2"/>
        <w:rPr>
          <w:rFonts w:ascii="宋体" w:hAnsi="宋体" w:cs="宋体"/>
          <w:b/>
          <w:bCs/>
          <w:snapToGrid w:val="0"/>
          <w:kern w:val="0"/>
          <w:szCs w:val="21"/>
        </w:rPr>
      </w:pPr>
      <w:bookmarkStart w:id="95" w:name="_Toc54249450"/>
      <w:r>
        <w:rPr>
          <w:rFonts w:hint="eastAsia" w:ascii="宋体" w:hAnsi="宋体" w:cs="宋体"/>
          <w:b/>
          <w:bCs/>
          <w:snapToGrid w:val="0"/>
          <w:kern w:val="0"/>
          <w:szCs w:val="21"/>
        </w:rPr>
        <w:t>1.12  偏离</w:t>
      </w:r>
      <w:bookmarkEnd w:id="92"/>
      <w:bookmarkEnd w:id="93"/>
      <w:bookmarkEnd w:id="94"/>
      <w:bookmarkEnd w:id="95"/>
    </w:p>
    <w:p>
      <w:pPr>
        <w:widowControl/>
        <w:snapToGrid w:val="0"/>
        <w:spacing w:line="400" w:lineRule="exact"/>
        <w:ind w:firstLine="420" w:firstLineChars="200"/>
        <w:jc w:val="left"/>
        <w:outlineLvl w:val="2"/>
        <w:rPr>
          <w:rFonts w:ascii="宋体" w:hAnsi="宋体" w:cs="宋体"/>
          <w:snapToGrid w:val="0"/>
          <w:kern w:val="0"/>
          <w:szCs w:val="21"/>
        </w:rPr>
      </w:pPr>
      <w:bookmarkStart w:id="96" w:name="_Toc54249451"/>
      <w:r>
        <w:rPr>
          <w:rFonts w:hint="eastAsia" w:ascii="宋体" w:hAnsi="宋体" w:cs="宋体"/>
          <w:snapToGrid w:val="0"/>
          <w:kern w:val="0"/>
          <w:szCs w:val="21"/>
        </w:rPr>
        <w:t>竞标人须知前附表允许竞标文件偏离比选文件某些要求的，偏离应当符合比选文件规定的偏离范围和幅度。</w:t>
      </w:r>
      <w:bookmarkEnd w:id="96"/>
    </w:p>
    <w:p>
      <w:pPr>
        <w:widowControl/>
        <w:snapToGrid w:val="0"/>
        <w:spacing w:line="400" w:lineRule="exact"/>
        <w:jc w:val="left"/>
        <w:outlineLvl w:val="2"/>
        <w:rPr>
          <w:rFonts w:ascii="宋体" w:hAnsi="宋体" w:cs="宋体"/>
          <w:b/>
          <w:bCs/>
          <w:snapToGrid w:val="0"/>
          <w:kern w:val="0"/>
          <w:szCs w:val="21"/>
        </w:rPr>
      </w:pPr>
      <w:bookmarkStart w:id="97" w:name="_Toc54249452"/>
      <w:bookmarkStart w:id="98" w:name="_Toc682"/>
      <w:bookmarkStart w:id="99" w:name="_Toc291847031"/>
      <w:bookmarkStart w:id="100" w:name="_Toc200513140"/>
      <w:r>
        <w:rPr>
          <w:rFonts w:hint="eastAsia" w:ascii="宋体" w:hAnsi="宋体" w:cs="宋体"/>
          <w:b/>
          <w:bCs/>
          <w:snapToGrid w:val="0"/>
          <w:kern w:val="0"/>
          <w:szCs w:val="21"/>
        </w:rPr>
        <w:t>2.  比选文件</w:t>
      </w:r>
      <w:bookmarkEnd w:id="97"/>
      <w:bookmarkEnd w:id="98"/>
      <w:bookmarkEnd w:id="99"/>
      <w:bookmarkEnd w:id="100"/>
    </w:p>
    <w:p>
      <w:pPr>
        <w:widowControl/>
        <w:snapToGrid w:val="0"/>
        <w:spacing w:line="400" w:lineRule="exact"/>
        <w:jc w:val="left"/>
        <w:outlineLvl w:val="2"/>
        <w:rPr>
          <w:rFonts w:ascii="宋体" w:hAnsi="宋体" w:cs="宋体"/>
          <w:b/>
          <w:bCs/>
          <w:snapToGrid w:val="0"/>
          <w:kern w:val="0"/>
          <w:szCs w:val="21"/>
        </w:rPr>
      </w:pPr>
      <w:bookmarkStart w:id="101" w:name="_Toc54249453"/>
      <w:bookmarkStart w:id="102" w:name="_Toc291847032"/>
      <w:bookmarkStart w:id="103" w:name="_Toc200513141"/>
      <w:bookmarkStart w:id="104" w:name="_Toc8316"/>
      <w:r>
        <w:rPr>
          <w:rFonts w:hint="eastAsia" w:ascii="宋体" w:hAnsi="宋体" w:cs="宋体"/>
          <w:b/>
          <w:bCs/>
          <w:snapToGrid w:val="0"/>
          <w:kern w:val="0"/>
          <w:szCs w:val="21"/>
        </w:rPr>
        <w:t>2.1  比选文件的组成</w:t>
      </w:r>
      <w:bookmarkEnd w:id="101"/>
      <w:bookmarkEnd w:id="102"/>
      <w:bookmarkEnd w:id="103"/>
      <w:bookmarkEnd w:id="104"/>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本比选文件包括：</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（1）比选公告；</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（2）竞标人须知；</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（3）评标办法；</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（4）合同条款及格式；</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（5）工程量清单；</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（6）图纸；</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（7）技术标准和要求；</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（8）竞标文件格式；</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（9）竞标人须知前附表规定的其他材料。</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根据本章第1.10款、第2.2款和第2.3款对比选文件所作的澄清、修改，构成比选文件的组成部分。</w:t>
      </w:r>
    </w:p>
    <w:p>
      <w:pPr>
        <w:widowControl/>
        <w:snapToGrid w:val="0"/>
        <w:spacing w:line="400" w:lineRule="exact"/>
        <w:jc w:val="left"/>
        <w:outlineLvl w:val="2"/>
        <w:rPr>
          <w:rFonts w:ascii="宋体" w:hAnsi="宋体" w:cs="宋体"/>
          <w:b/>
          <w:bCs/>
          <w:snapToGrid w:val="0"/>
          <w:kern w:val="0"/>
          <w:szCs w:val="21"/>
        </w:rPr>
      </w:pPr>
      <w:bookmarkStart w:id="105" w:name="_Toc54249454"/>
      <w:bookmarkStart w:id="106" w:name="_Toc291847033"/>
      <w:bookmarkStart w:id="107" w:name="_Toc12521"/>
      <w:bookmarkStart w:id="108" w:name="_Toc200513142"/>
      <w:r>
        <w:rPr>
          <w:rFonts w:hint="eastAsia" w:ascii="宋体" w:hAnsi="宋体" w:cs="宋体"/>
          <w:b/>
          <w:bCs/>
          <w:snapToGrid w:val="0"/>
          <w:kern w:val="0"/>
          <w:szCs w:val="21"/>
        </w:rPr>
        <w:t>2.2  比选文件的澄清</w:t>
      </w:r>
      <w:bookmarkEnd w:id="105"/>
      <w:bookmarkEnd w:id="106"/>
      <w:bookmarkEnd w:id="107"/>
      <w:bookmarkEnd w:id="108"/>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09" w:name="_Toc291847035"/>
      <w:bookmarkStart w:id="110" w:name="_Toc20055"/>
      <w:bookmarkStart w:id="111" w:name="_Toc200513144"/>
      <w:r>
        <w:rPr>
          <w:rFonts w:hint="eastAsia" w:ascii="宋体" w:hAnsi="宋体" w:cs="宋体"/>
          <w:snapToGrid w:val="0"/>
          <w:kern w:val="0"/>
          <w:szCs w:val="21"/>
        </w:rPr>
        <w:t>2.2.1  竞标人应仔细阅读和检查下载的比选文件的全部内容。如发现缺页或附件不全，应及时向比选人提出，以便补齐。如有疑问，应在竞标人须知前附表规定的时间前向比选代理机构提交书面质疑，要求比选人对比选文件予以澄清。</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12" w:name="_Toc317863439"/>
      <w:bookmarkStart w:id="113" w:name="_Toc427133968"/>
      <w:bookmarkStart w:id="114" w:name="_Toc200513143"/>
      <w:bookmarkStart w:id="115" w:name="_Toc353283985"/>
      <w:bookmarkStart w:id="116" w:name="_Toc325636597"/>
      <w:r>
        <w:rPr>
          <w:rFonts w:hint="eastAsia" w:ascii="宋体" w:hAnsi="宋体" w:cs="宋体"/>
          <w:snapToGrid w:val="0"/>
          <w:kern w:val="0"/>
          <w:szCs w:val="21"/>
        </w:rPr>
        <w:t>2.2.2比选文件的澄清将在竞标人须知前附表规定的竞标截止时间3天前向所有竞标人发布，但不指明澄清问题的来源。如果澄清发出的时间距竞标截止时间不足3天，相应延长竞标截止时间。</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2.2.3  比选人对比选文件的，补遗内容可能影响竞标文件编制的，须在竞标截止时间3日前发布，发布时间至竞标截止时间不足3日的，须相应延后竞标截止时间。</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2.2.4竞标人对比选文件和答疑补遗有异议的，应当在竞标截止时间3日前，以书面形式通知比选人或比选代理机构。</w:t>
      </w:r>
      <w:bookmarkEnd w:id="112"/>
      <w:bookmarkEnd w:id="113"/>
      <w:bookmarkEnd w:id="114"/>
      <w:bookmarkEnd w:id="115"/>
      <w:bookmarkEnd w:id="116"/>
    </w:p>
    <w:p>
      <w:pPr>
        <w:widowControl/>
        <w:snapToGrid w:val="0"/>
        <w:spacing w:line="400" w:lineRule="exact"/>
        <w:jc w:val="left"/>
        <w:outlineLvl w:val="2"/>
        <w:rPr>
          <w:rFonts w:ascii="宋体" w:hAnsi="宋体" w:cs="宋体"/>
          <w:b/>
          <w:bCs/>
          <w:snapToGrid w:val="0"/>
          <w:kern w:val="0"/>
          <w:szCs w:val="21"/>
        </w:rPr>
      </w:pPr>
      <w:bookmarkStart w:id="117" w:name="_Toc54249455"/>
      <w:r>
        <w:rPr>
          <w:rFonts w:hint="eastAsia" w:ascii="宋体" w:hAnsi="宋体" w:cs="宋体"/>
          <w:b/>
          <w:bCs/>
          <w:snapToGrid w:val="0"/>
          <w:kern w:val="0"/>
          <w:szCs w:val="21"/>
        </w:rPr>
        <w:t>3.  竞标文件</w:t>
      </w:r>
      <w:bookmarkEnd w:id="109"/>
      <w:bookmarkEnd w:id="110"/>
      <w:bookmarkEnd w:id="111"/>
      <w:bookmarkEnd w:id="117"/>
    </w:p>
    <w:p>
      <w:pPr>
        <w:widowControl/>
        <w:snapToGrid w:val="0"/>
        <w:spacing w:line="400" w:lineRule="exact"/>
        <w:jc w:val="left"/>
        <w:outlineLvl w:val="2"/>
        <w:rPr>
          <w:rFonts w:ascii="宋体" w:hAnsi="宋体" w:cs="宋体"/>
          <w:b/>
          <w:bCs/>
          <w:snapToGrid w:val="0"/>
          <w:kern w:val="0"/>
          <w:szCs w:val="21"/>
        </w:rPr>
      </w:pPr>
      <w:bookmarkStart w:id="118" w:name="_Toc54249456"/>
      <w:bookmarkStart w:id="119" w:name="_Toc200513145"/>
      <w:bookmarkStart w:id="120" w:name="_Toc291847036"/>
      <w:bookmarkStart w:id="121" w:name="_Toc13763"/>
      <w:r>
        <w:rPr>
          <w:rFonts w:hint="eastAsia" w:ascii="宋体" w:hAnsi="宋体" w:cs="宋体"/>
          <w:b/>
          <w:bCs/>
          <w:snapToGrid w:val="0"/>
          <w:kern w:val="0"/>
          <w:szCs w:val="21"/>
        </w:rPr>
        <w:t>3.1  竞标文件的组成</w:t>
      </w:r>
      <w:bookmarkEnd w:id="118"/>
      <w:bookmarkEnd w:id="119"/>
      <w:bookmarkEnd w:id="120"/>
      <w:bookmarkEnd w:id="121"/>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3.1.1 竞标文件应包括下列内容：</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（1）竞标函及竞标函附录；</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（2）法定代表人身份证明或附有法定代表人身份证明的授权委托书；</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（3）竞标保证金；</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（4）已标价工程量清单；</w:t>
      </w:r>
    </w:p>
    <w:p>
      <w:pPr>
        <w:autoSpaceDE w:val="0"/>
        <w:autoSpaceDN w:val="0"/>
        <w:adjustRightInd w:val="0"/>
        <w:snapToGrid w:val="0"/>
        <w:spacing w:line="400" w:lineRule="exact"/>
        <w:ind w:left="359" w:leftChars="171"/>
        <w:jc w:val="left"/>
        <w:rPr>
          <w:rFonts w:ascii="宋体" w:hAnsi="宋体" w:cs="宋体"/>
          <w:snapToGrid w:val="0"/>
          <w:kern w:val="0"/>
          <w:szCs w:val="21"/>
        </w:rPr>
      </w:pPr>
      <w:bookmarkStart w:id="122" w:name="_Toc291847037"/>
      <w:bookmarkStart w:id="123" w:name="_Toc200513146"/>
      <w:r>
        <w:rPr>
          <w:rFonts w:hint="eastAsia" w:ascii="宋体" w:hAnsi="宋体" w:cs="宋体"/>
          <w:snapToGrid w:val="0"/>
          <w:kern w:val="0"/>
          <w:szCs w:val="21"/>
        </w:rPr>
        <w:t>（5）项目管理机构；</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（6）资格审查资料；</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（7）竞标人须知前附表规定的其他材料。</w:t>
      </w:r>
    </w:p>
    <w:p>
      <w:pPr>
        <w:widowControl/>
        <w:snapToGrid w:val="0"/>
        <w:spacing w:line="400" w:lineRule="exact"/>
        <w:jc w:val="left"/>
        <w:outlineLvl w:val="2"/>
        <w:rPr>
          <w:rFonts w:ascii="宋体" w:hAnsi="宋体" w:cs="宋体"/>
          <w:b/>
          <w:bCs/>
          <w:snapToGrid w:val="0"/>
          <w:kern w:val="0"/>
          <w:szCs w:val="21"/>
        </w:rPr>
      </w:pPr>
      <w:bookmarkStart w:id="124" w:name="_Toc54249457"/>
      <w:bookmarkStart w:id="125" w:name="_Toc14437"/>
      <w:r>
        <w:rPr>
          <w:rFonts w:hint="eastAsia" w:ascii="宋体" w:hAnsi="宋体" w:cs="宋体"/>
          <w:b/>
          <w:bCs/>
          <w:snapToGrid w:val="0"/>
          <w:kern w:val="0"/>
          <w:szCs w:val="21"/>
        </w:rPr>
        <w:t>3.2  竞标报价</w:t>
      </w:r>
      <w:bookmarkEnd w:id="122"/>
      <w:bookmarkEnd w:id="123"/>
      <w:bookmarkEnd w:id="124"/>
      <w:bookmarkEnd w:id="125"/>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26" w:name="_Toc200513147"/>
      <w:r>
        <w:rPr>
          <w:rFonts w:hint="eastAsia" w:ascii="宋体" w:hAnsi="宋体" w:cs="宋体"/>
          <w:snapToGrid w:val="0"/>
          <w:kern w:val="0"/>
          <w:szCs w:val="21"/>
        </w:rPr>
        <w:t>3.2.1  竞标人应按第五章“工程量清单”的要求填写相应表格。</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2.3.2  竞标人在竞标截止时间前修改竞标函中的竞标总报价，应同时修改第五章“工程量清单”中的相应报价。此修改须符合本章第4.3款的有关要求。</w:t>
      </w:r>
    </w:p>
    <w:p>
      <w:pPr>
        <w:widowControl/>
        <w:snapToGrid w:val="0"/>
        <w:spacing w:line="400" w:lineRule="exact"/>
        <w:jc w:val="left"/>
        <w:outlineLvl w:val="2"/>
        <w:rPr>
          <w:rFonts w:ascii="宋体" w:hAnsi="宋体" w:cs="宋体"/>
          <w:b/>
          <w:bCs/>
          <w:snapToGrid w:val="0"/>
          <w:kern w:val="0"/>
          <w:szCs w:val="21"/>
        </w:rPr>
      </w:pPr>
      <w:bookmarkStart w:id="127" w:name="_Toc291847038"/>
      <w:bookmarkStart w:id="128" w:name="_Toc54249458"/>
      <w:bookmarkStart w:id="129" w:name="_Toc31736"/>
      <w:r>
        <w:rPr>
          <w:rFonts w:hint="eastAsia" w:ascii="宋体" w:hAnsi="宋体" w:cs="宋体"/>
          <w:b/>
          <w:bCs/>
          <w:snapToGrid w:val="0"/>
          <w:kern w:val="0"/>
          <w:szCs w:val="21"/>
        </w:rPr>
        <w:t>3.3  竞标有效期</w:t>
      </w:r>
      <w:bookmarkEnd w:id="126"/>
      <w:bookmarkEnd w:id="127"/>
      <w:bookmarkEnd w:id="128"/>
      <w:bookmarkEnd w:id="129"/>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30" w:name="_Toc11334"/>
      <w:bookmarkStart w:id="131" w:name="_Toc291847039"/>
      <w:bookmarkStart w:id="132" w:name="_Toc200513148"/>
      <w:r>
        <w:rPr>
          <w:rFonts w:hint="eastAsia" w:ascii="宋体" w:hAnsi="宋体" w:cs="宋体"/>
          <w:snapToGrid w:val="0"/>
          <w:kern w:val="0"/>
          <w:szCs w:val="21"/>
        </w:rPr>
        <w:t>3.3.1  在竞标人须知前附表规定的竞标有效期内，竞标人不得要求撤销或修改其竞标文件。</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3.3.2  出现特殊情况需要延长竞标有效期的，比选人以书面形式通知所有竞标人延长竞标有效期。竞标人同意延长的，应相应延长其</w:t>
      </w:r>
      <w:r>
        <w:rPr>
          <w:rFonts w:hint="eastAsia" w:ascii="宋体" w:hAnsi="宋体"/>
          <w:kern w:val="0"/>
          <w:szCs w:val="21"/>
        </w:rPr>
        <w:t>竞标</w:t>
      </w:r>
      <w:r>
        <w:rPr>
          <w:rFonts w:hint="eastAsia" w:ascii="宋体" w:hAnsi="宋体" w:cs="宋体"/>
          <w:snapToGrid w:val="0"/>
          <w:kern w:val="0"/>
          <w:szCs w:val="21"/>
        </w:rPr>
        <w:t>保证金的有效期，但不得要求或被允许修改或撤销其竞标文件；竞标人拒绝延长的，其竞标失效，但竞标人有权收回其</w:t>
      </w:r>
      <w:r>
        <w:rPr>
          <w:rFonts w:hint="eastAsia" w:ascii="宋体" w:hAnsi="宋体"/>
          <w:kern w:val="0"/>
          <w:szCs w:val="21"/>
        </w:rPr>
        <w:t>竞标</w:t>
      </w:r>
      <w:r>
        <w:rPr>
          <w:rFonts w:hint="eastAsia" w:ascii="宋体" w:hAnsi="宋体" w:cs="宋体"/>
          <w:snapToGrid w:val="0"/>
          <w:kern w:val="0"/>
          <w:szCs w:val="21"/>
        </w:rPr>
        <w:t>保证金。</w:t>
      </w:r>
    </w:p>
    <w:p>
      <w:pPr>
        <w:widowControl/>
        <w:snapToGrid w:val="0"/>
        <w:spacing w:line="400" w:lineRule="exact"/>
        <w:jc w:val="left"/>
        <w:outlineLvl w:val="2"/>
        <w:rPr>
          <w:rFonts w:ascii="宋体" w:hAnsi="宋体" w:cs="宋体"/>
          <w:b/>
          <w:bCs/>
          <w:snapToGrid w:val="0"/>
          <w:kern w:val="0"/>
          <w:szCs w:val="21"/>
        </w:rPr>
      </w:pPr>
      <w:bookmarkStart w:id="133" w:name="_Toc54249459"/>
      <w:r>
        <w:rPr>
          <w:rFonts w:hint="eastAsia" w:ascii="宋体" w:hAnsi="宋体" w:cs="宋体"/>
          <w:b/>
          <w:bCs/>
          <w:snapToGrid w:val="0"/>
          <w:kern w:val="0"/>
          <w:szCs w:val="21"/>
        </w:rPr>
        <w:t>3.4  竞标保证金</w:t>
      </w:r>
      <w:bookmarkEnd w:id="130"/>
      <w:bookmarkEnd w:id="131"/>
      <w:bookmarkEnd w:id="132"/>
      <w:bookmarkEnd w:id="133"/>
    </w:p>
    <w:p>
      <w:pPr>
        <w:autoSpaceDE w:val="0"/>
        <w:autoSpaceDN w:val="0"/>
        <w:adjustRightInd w:val="0"/>
        <w:snapToGrid w:val="0"/>
        <w:spacing w:line="400" w:lineRule="exact"/>
        <w:ind w:firstLine="420" w:firstLineChars="200"/>
        <w:rPr>
          <w:rFonts w:ascii="宋体" w:hAnsi="宋体" w:cs="宋体"/>
          <w:snapToGrid w:val="0"/>
          <w:kern w:val="0"/>
          <w:szCs w:val="21"/>
        </w:rPr>
      </w:pPr>
      <w:bookmarkStart w:id="134" w:name="_Toc291847040"/>
      <w:bookmarkStart w:id="135" w:name="_Toc200513150"/>
      <w:r>
        <w:rPr>
          <w:rFonts w:hint="eastAsia" w:ascii="宋体" w:hAnsi="宋体" w:cs="宋体"/>
        </w:rPr>
        <w:t>（1）</w:t>
      </w:r>
      <w:r>
        <w:rPr>
          <w:rFonts w:hint="eastAsia" w:ascii="宋体" w:hAnsi="宋体" w:cs="宋体"/>
          <w:snapToGrid w:val="0"/>
          <w:kern w:val="0"/>
          <w:szCs w:val="21"/>
        </w:rPr>
        <w:t xml:space="preserve">竞标人在递交竞标文件的同时，应按竞标人须知前附表规定的金额、担保形式和第八章“竞标文件格式”规定递交竞标保证金，并作为其竞标文件的组成部分。 </w:t>
      </w:r>
    </w:p>
    <w:p>
      <w:pPr>
        <w:autoSpaceDE w:val="0"/>
        <w:autoSpaceDN w:val="0"/>
        <w:adjustRightInd w:val="0"/>
        <w:snapToGrid w:val="0"/>
        <w:spacing w:line="400" w:lineRule="exact"/>
        <w:ind w:left="13" w:leftChars="6" w:firstLine="405" w:firstLineChars="193"/>
        <w:jc w:val="left"/>
        <w:rPr>
          <w:rFonts w:ascii="宋体" w:hAnsi="宋体" w:cs="宋体"/>
          <w:snapToGrid w:val="0"/>
          <w:kern w:val="0"/>
          <w:szCs w:val="21"/>
        </w:rPr>
      </w:pPr>
      <w:r>
        <w:rPr>
          <w:rFonts w:hint="eastAsia" w:ascii="宋体" w:hAnsi="宋体" w:cs="宋体"/>
          <w:snapToGrid w:val="0"/>
          <w:kern w:val="0"/>
          <w:szCs w:val="21"/>
        </w:rPr>
        <w:t>（2）竞标人不按本章第 3.4.1 项要求提交竞标保证金的，其竞标文件作</w:t>
      </w:r>
      <w:r>
        <w:rPr>
          <w:rFonts w:hint="eastAsia" w:ascii="宋体" w:hAnsi="宋体" w:cs="宋体"/>
          <w:kern w:val="0"/>
        </w:rPr>
        <w:t>否决竞标</w:t>
      </w:r>
      <w:r>
        <w:rPr>
          <w:rFonts w:hint="eastAsia" w:ascii="宋体" w:hAnsi="宋体" w:cs="宋体"/>
          <w:snapToGrid w:val="0"/>
          <w:kern w:val="0"/>
          <w:szCs w:val="21"/>
        </w:rPr>
        <w:t>处理。</w:t>
      </w:r>
    </w:p>
    <w:p>
      <w:pPr>
        <w:autoSpaceDE w:val="0"/>
        <w:autoSpaceDN w:val="0"/>
        <w:adjustRightInd w:val="0"/>
        <w:snapToGrid w:val="0"/>
        <w:spacing w:line="400" w:lineRule="exact"/>
        <w:ind w:firstLine="420" w:firstLineChars="200"/>
        <w:rPr>
          <w:rFonts w:ascii="宋体" w:hAnsi="宋体" w:cs="宋体"/>
          <w:snapToGrid w:val="0"/>
          <w:kern w:val="0"/>
          <w:szCs w:val="21"/>
        </w:rPr>
      </w:pPr>
      <w:r>
        <w:rPr>
          <w:rFonts w:hint="eastAsia" w:ascii="宋体" w:hAnsi="宋体" w:cs="宋体"/>
          <w:snapToGrid w:val="0"/>
          <w:kern w:val="0"/>
          <w:szCs w:val="21"/>
        </w:rPr>
        <w:t>（3）竞标保证金的退还: 见竞标人须知前附表。</w:t>
      </w:r>
    </w:p>
    <w:p>
      <w:pPr>
        <w:autoSpaceDE w:val="0"/>
        <w:autoSpaceDN w:val="0"/>
        <w:adjustRightInd w:val="0"/>
        <w:snapToGrid w:val="0"/>
        <w:spacing w:line="400" w:lineRule="exact"/>
        <w:ind w:left="13" w:leftChars="6" w:firstLine="405" w:firstLineChars="193"/>
        <w:jc w:val="left"/>
        <w:rPr>
          <w:rFonts w:ascii="宋体" w:hAnsi="宋体" w:cs="宋体"/>
          <w:snapToGrid w:val="0"/>
          <w:kern w:val="0"/>
          <w:szCs w:val="21"/>
        </w:rPr>
      </w:pPr>
      <w:r>
        <w:rPr>
          <w:rFonts w:hint="eastAsia" w:ascii="宋体" w:hAnsi="宋体" w:cs="宋体"/>
          <w:snapToGrid w:val="0"/>
          <w:kern w:val="0"/>
          <w:szCs w:val="21"/>
        </w:rPr>
        <w:t>（4）有下列情形之一的，竞标保证金将不予退还：</w:t>
      </w:r>
    </w:p>
    <w:p>
      <w:pPr>
        <w:autoSpaceDE w:val="0"/>
        <w:autoSpaceDN w:val="0"/>
        <w:adjustRightInd w:val="0"/>
        <w:snapToGrid w:val="0"/>
        <w:spacing w:line="400" w:lineRule="exact"/>
        <w:ind w:firstLine="1050" w:firstLineChars="500"/>
        <w:jc w:val="left"/>
        <w:rPr>
          <w:rFonts w:ascii="宋体" w:hAnsi="宋体" w:cs="宋体"/>
          <w:snapToGrid w:val="0"/>
          <w:kern w:val="0"/>
          <w:szCs w:val="21"/>
        </w:rPr>
      </w:pPr>
      <w:r>
        <w:rPr>
          <w:rFonts w:hint="eastAsia" w:ascii="宋体" w:hAnsi="宋体" w:cs="宋体"/>
          <w:snapToGrid w:val="0"/>
          <w:kern w:val="0"/>
          <w:szCs w:val="21"/>
        </w:rPr>
        <w:t>1）竞标人在规定的竞标有效期内撤销或修改其竞标文件；</w:t>
      </w:r>
    </w:p>
    <w:p>
      <w:pPr>
        <w:autoSpaceDE w:val="0"/>
        <w:autoSpaceDN w:val="0"/>
        <w:adjustRightInd w:val="0"/>
        <w:snapToGrid w:val="0"/>
        <w:spacing w:line="400" w:lineRule="exact"/>
        <w:ind w:firstLine="1050" w:firstLineChars="500"/>
        <w:jc w:val="left"/>
        <w:rPr>
          <w:rFonts w:ascii="宋体" w:hAnsi="宋体" w:cs="宋体"/>
          <w:snapToGrid w:val="0"/>
          <w:kern w:val="0"/>
          <w:szCs w:val="21"/>
        </w:rPr>
      </w:pPr>
      <w:r>
        <w:rPr>
          <w:rFonts w:hint="eastAsia" w:ascii="宋体" w:hAnsi="宋体" w:cs="宋体"/>
          <w:snapToGrid w:val="0"/>
          <w:kern w:val="0"/>
          <w:szCs w:val="21"/>
        </w:rPr>
        <w:t>2）中标人在收到中标通知书后，无正当理由拒签合同协议书。</w:t>
      </w:r>
    </w:p>
    <w:p>
      <w:pPr>
        <w:widowControl/>
        <w:snapToGrid w:val="0"/>
        <w:spacing w:line="400" w:lineRule="exact"/>
        <w:jc w:val="left"/>
        <w:outlineLvl w:val="2"/>
        <w:rPr>
          <w:rFonts w:ascii="宋体" w:hAnsi="宋体" w:cs="宋体"/>
          <w:b/>
          <w:bCs/>
          <w:snapToGrid w:val="0"/>
          <w:kern w:val="0"/>
          <w:szCs w:val="21"/>
        </w:rPr>
      </w:pPr>
      <w:bookmarkStart w:id="136" w:name="_Toc54249460"/>
      <w:bookmarkStart w:id="137" w:name="_Toc20986"/>
      <w:r>
        <w:rPr>
          <w:rFonts w:hint="eastAsia" w:ascii="宋体" w:hAnsi="宋体" w:cs="宋体"/>
          <w:b/>
          <w:bCs/>
          <w:snapToGrid w:val="0"/>
          <w:kern w:val="0"/>
          <w:szCs w:val="21"/>
        </w:rPr>
        <w:t>3.5  资格审查资料</w:t>
      </w:r>
      <w:bookmarkEnd w:id="134"/>
      <w:bookmarkEnd w:id="135"/>
      <w:bookmarkEnd w:id="136"/>
      <w:bookmarkEnd w:id="137"/>
    </w:p>
    <w:p>
      <w:pPr>
        <w:autoSpaceDE w:val="0"/>
        <w:autoSpaceDN w:val="0"/>
        <w:adjustRightInd w:val="0"/>
        <w:snapToGrid w:val="0"/>
        <w:spacing w:line="400" w:lineRule="exact"/>
        <w:ind w:firstLine="420" w:firstLineChars="200"/>
        <w:rPr>
          <w:rFonts w:ascii="宋体" w:hAnsi="宋体" w:cs="宋体"/>
          <w:snapToGrid w:val="0"/>
          <w:kern w:val="0"/>
          <w:szCs w:val="21"/>
        </w:rPr>
      </w:pPr>
      <w:r>
        <w:rPr>
          <w:rFonts w:hint="eastAsia" w:ascii="宋体" w:hAnsi="宋体" w:cs="宋体"/>
          <w:snapToGrid w:val="0"/>
          <w:kern w:val="0"/>
          <w:szCs w:val="21"/>
        </w:rPr>
        <w:t>见竞标人须知前附表。</w:t>
      </w:r>
    </w:p>
    <w:p>
      <w:pPr>
        <w:widowControl/>
        <w:snapToGrid w:val="0"/>
        <w:spacing w:line="400" w:lineRule="exact"/>
        <w:jc w:val="left"/>
        <w:outlineLvl w:val="2"/>
        <w:rPr>
          <w:rFonts w:ascii="宋体" w:hAnsi="宋体" w:cs="宋体"/>
          <w:b/>
          <w:bCs/>
          <w:snapToGrid w:val="0"/>
          <w:kern w:val="0"/>
          <w:szCs w:val="21"/>
        </w:rPr>
      </w:pPr>
      <w:bookmarkStart w:id="138" w:name="_Toc54249461"/>
      <w:bookmarkStart w:id="139" w:name="_Toc1525"/>
      <w:bookmarkStart w:id="140" w:name="_Toc200513151"/>
      <w:bookmarkStart w:id="141" w:name="_Toc291847041"/>
      <w:r>
        <w:rPr>
          <w:rFonts w:hint="eastAsia" w:ascii="宋体" w:hAnsi="宋体" w:cs="宋体"/>
          <w:b/>
          <w:bCs/>
          <w:snapToGrid w:val="0"/>
          <w:kern w:val="0"/>
          <w:szCs w:val="21"/>
        </w:rPr>
        <w:t>3.6  备选竞标方案</w:t>
      </w:r>
      <w:bookmarkEnd w:id="138"/>
      <w:bookmarkEnd w:id="139"/>
      <w:bookmarkEnd w:id="140"/>
      <w:bookmarkEnd w:id="141"/>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竞标人不得递交备选竞标方案。</w:t>
      </w:r>
    </w:p>
    <w:p>
      <w:pPr>
        <w:widowControl/>
        <w:snapToGrid w:val="0"/>
        <w:spacing w:line="400" w:lineRule="exact"/>
        <w:jc w:val="left"/>
        <w:outlineLvl w:val="2"/>
        <w:rPr>
          <w:rFonts w:ascii="宋体" w:hAnsi="宋体" w:cs="宋体"/>
          <w:b/>
          <w:bCs/>
          <w:snapToGrid w:val="0"/>
          <w:kern w:val="0"/>
          <w:szCs w:val="21"/>
        </w:rPr>
      </w:pPr>
      <w:bookmarkStart w:id="142" w:name="_Toc54249462"/>
      <w:bookmarkStart w:id="143" w:name="_Toc200513152"/>
      <w:bookmarkStart w:id="144" w:name="_Toc24559"/>
      <w:bookmarkStart w:id="145" w:name="_Toc291847042"/>
      <w:r>
        <w:rPr>
          <w:rFonts w:hint="eastAsia" w:ascii="宋体" w:hAnsi="宋体" w:cs="宋体"/>
          <w:b/>
          <w:bCs/>
          <w:snapToGrid w:val="0"/>
          <w:kern w:val="0"/>
          <w:szCs w:val="21"/>
        </w:rPr>
        <w:t>3.7  竞标文件的编制</w:t>
      </w:r>
      <w:bookmarkEnd w:id="142"/>
      <w:bookmarkEnd w:id="143"/>
      <w:bookmarkEnd w:id="144"/>
      <w:bookmarkEnd w:id="145"/>
    </w:p>
    <w:p>
      <w:pPr>
        <w:autoSpaceDE w:val="0"/>
        <w:autoSpaceDN w:val="0"/>
        <w:adjustRightInd w:val="0"/>
        <w:snapToGrid w:val="0"/>
        <w:spacing w:line="400" w:lineRule="exact"/>
        <w:ind w:firstLine="420" w:firstLineChars="200"/>
        <w:jc w:val="left"/>
        <w:rPr>
          <w:rFonts w:ascii="宋体" w:hAnsi="宋体" w:cs="宋体"/>
          <w:snapToGrid w:val="0"/>
          <w:kern w:val="0"/>
          <w:szCs w:val="21"/>
        </w:rPr>
      </w:pPr>
      <w:bookmarkStart w:id="146" w:name="_Toc200513153"/>
      <w:bookmarkStart w:id="147" w:name="_Toc180"/>
      <w:bookmarkStart w:id="148" w:name="_Toc291847043"/>
      <w:r>
        <w:rPr>
          <w:rFonts w:hint="eastAsia" w:ascii="宋体" w:hAnsi="宋体" w:cs="宋体"/>
          <w:snapToGrid w:val="0"/>
          <w:kern w:val="0"/>
          <w:szCs w:val="21"/>
        </w:rPr>
        <w:t>3.7.1  竞标文件应按第八章“竞标文件格式”进行编写，如有必要，可以增加内容和附页，作为竞标文件的组成部分。其中，竞标文件技术条款、商务条款在满足比选文件实质性要求的基础上，可以提出比比选文件要求更有利于比选人的承诺。</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3.7.2  竞标文件对比选文件有关交货时间、竞标有效期、质量要求、技术标准和要求、 比选范围等实质性内容做出响应。</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3.7.3  竞标文件应用不褪色的材料书写或打印，并由竞标人的法定代表人或其委托代理人签字、盖单位公章。竞标文件应附法定代表人签署的授权委托书。竞标文件应尽量避免涂改、行间插字或删除。如果出现上述情况，改动之处应加盖单位公章或由竞标人的法定代表人或其授权的代理人签字确认。签字或盖章的具体要求见竞标人须知前附表。</w:t>
      </w:r>
    </w:p>
    <w:p>
      <w:pPr>
        <w:widowControl/>
        <w:snapToGrid w:val="0"/>
        <w:spacing w:line="400" w:lineRule="exact"/>
        <w:jc w:val="left"/>
        <w:outlineLvl w:val="2"/>
        <w:rPr>
          <w:rFonts w:ascii="宋体" w:hAnsi="宋体" w:cs="宋体"/>
          <w:b/>
          <w:bCs/>
          <w:snapToGrid w:val="0"/>
          <w:kern w:val="0"/>
          <w:szCs w:val="21"/>
        </w:rPr>
      </w:pPr>
      <w:bookmarkStart w:id="149" w:name="_Toc54249463"/>
      <w:r>
        <w:rPr>
          <w:rFonts w:hint="eastAsia" w:ascii="宋体" w:hAnsi="宋体" w:cs="宋体"/>
          <w:b/>
          <w:bCs/>
          <w:snapToGrid w:val="0"/>
          <w:kern w:val="0"/>
          <w:szCs w:val="21"/>
        </w:rPr>
        <w:t>4.  竞标</w:t>
      </w:r>
      <w:bookmarkEnd w:id="146"/>
      <w:bookmarkEnd w:id="147"/>
      <w:bookmarkEnd w:id="148"/>
      <w:bookmarkEnd w:id="149"/>
    </w:p>
    <w:p>
      <w:pPr>
        <w:widowControl/>
        <w:snapToGrid w:val="0"/>
        <w:spacing w:line="400" w:lineRule="exact"/>
        <w:jc w:val="left"/>
        <w:outlineLvl w:val="2"/>
        <w:rPr>
          <w:rFonts w:ascii="宋体" w:hAnsi="宋体" w:cs="宋体"/>
          <w:b/>
          <w:bCs/>
          <w:snapToGrid w:val="0"/>
          <w:kern w:val="0"/>
          <w:szCs w:val="21"/>
        </w:rPr>
      </w:pPr>
      <w:bookmarkStart w:id="150" w:name="_Toc54249464"/>
      <w:bookmarkStart w:id="151" w:name="_Toc8442"/>
      <w:bookmarkStart w:id="152" w:name="_Toc200513154"/>
      <w:bookmarkStart w:id="153" w:name="_Toc291847044"/>
      <w:r>
        <w:rPr>
          <w:rFonts w:hint="eastAsia" w:ascii="宋体" w:hAnsi="宋体" w:cs="宋体"/>
          <w:b/>
          <w:bCs/>
          <w:snapToGrid w:val="0"/>
          <w:kern w:val="0"/>
          <w:szCs w:val="21"/>
        </w:rPr>
        <w:t>4.1  竞标文件的密封和标记</w:t>
      </w:r>
      <w:bookmarkEnd w:id="150"/>
      <w:bookmarkEnd w:id="151"/>
      <w:bookmarkEnd w:id="152"/>
      <w:bookmarkEnd w:id="153"/>
    </w:p>
    <w:p>
      <w:pPr>
        <w:autoSpaceDE w:val="0"/>
        <w:autoSpaceDN w:val="0"/>
        <w:adjustRightInd w:val="0"/>
        <w:snapToGrid w:val="0"/>
        <w:spacing w:line="400" w:lineRule="exact"/>
        <w:ind w:left="359" w:leftChars="171"/>
        <w:jc w:val="left"/>
        <w:rPr>
          <w:rFonts w:ascii="宋体" w:hAnsi="宋体" w:cs="宋体"/>
          <w:snapToGrid w:val="0"/>
          <w:kern w:val="0"/>
          <w:szCs w:val="21"/>
        </w:rPr>
      </w:pPr>
      <w:bookmarkStart w:id="154" w:name="_Toc200513155"/>
      <w:r>
        <w:rPr>
          <w:rFonts w:hint="eastAsia" w:ascii="宋体" w:hAnsi="宋体" w:cs="宋体"/>
          <w:snapToGrid w:val="0"/>
          <w:kern w:val="0"/>
          <w:szCs w:val="21"/>
        </w:rPr>
        <w:t>4.1.1  竞标文件的正本与副本密封见竞标人须知前附表。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4.1.2  竞标文件的封套上应写明的内容见竞标人须知前附表。</w:t>
      </w:r>
    </w:p>
    <w:p>
      <w:pPr>
        <w:autoSpaceDE w:val="0"/>
        <w:autoSpaceDN w:val="0"/>
        <w:adjustRightInd w:val="0"/>
        <w:snapToGrid w:val="0"/>
        <w:spacing w:line="400" w:lineRule="exact"/>
        <w:ind w:left="13" w:leftChars="6" w:firstLine="344" w:firstLineChars="164"/>
        <w:jc w:val="left"/>
        <w:rPr>
          <w:rFonts w:ascii="宋体" w:hAnsi="宋体" w:cs="宋体"/>
          <w:snapToGrid w:val="0"/>
          <w:kern w:val="0"/>
          <w:szCs w:val="21"/>
        </w:rPr>
      </w:pPr>
      <w:r>
        <w:rPr>
          <w:rFonts w:hint="eastAsia" w:ascii="宋体" w:hAnsi="宋体" w:cs="宋体"/>
          <w:snapToGrid w:val="0"/>
          <w:kern w:val="0"/>
          <w:szCs w:val="21"/>
        </w:rPr>
        <w:t>4.1.3  未按本章第 4.1.1 项或第 4.1.2 项要求密封和加写标记的竞标文件，比选人不予受理。</w:t>
      </w:r>
    </w:p>
    <w:p>
      <w:pPr>
        <w:widowControl/>
        <w:snapToGrid w:val="0"/>
        <w:spacing w:line="400" w:lineRule="exact"/>
        <w:jc w:val="left"/>
        <w:outlineLvl w:val="2"/>
        <w:rPr>
          <w:rFonts w:ascii="宋体" w:hAnsi="宋体" w:cs="宋体"/>
          <w:b/>
          <w:bCs/>
          <w:snapToGrid w:val="0"/>
          <w:kern w:val="0"/>
          <w:szCs w:val="21"/>
        </w:rPr>
      </w:pPr>
      <w:bookmarkStart w:id="155" w:name="_Toc54249465"/>
      <w:bookmarkStart w:id="156" w:name="_Toc19547"/>
      <w:bookmarkStart w:id="157" w:name="_Toc291847045"/>
      <w:r>
        <w:rPr>
          <w:rFonts w:hint="eastAsia" w:ascii="宋体" w:hAnsi="宋体" w:cs="宋体"/>
          <w:b/>
          <w:bCs/>
          <w:snapToGrid w:val="0"/>
          <w:kern w:val="0"/>
          <w:szCs w:val="21"/>
        </w:rPr>
        <w:t>4.2  竞标文件的递交</w:t>
      </w:r>
      <w:bookmarkEnd w:id="154"/>
      <w:bookmarkEnd w:id="155"/>
      <w:bookmarkEnd w:id="156"/>
      <w:bookmarkEnd w:id="157"/>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4.2.1  竞标人应在本章第 2.2.2 项规定的竞标截止时间前递交竞标文件。</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4.2.2  竞标人递交竞标文件的地点：见竞标人须知前附表。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4.2.3  除竞标人须知前附表另有规定外，竞标人所递交的竞标文件不予退还。</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4.2.4  比选人收到竞标文件后，向竞标人出具签收凭证。</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4.2.5  逾期送达的或者未送达指定地点的竞标文件，比选人不予受理。</w:t>
      </w:r>
    </w:p>
    <w:p>
      <w:pPr>
        <w:widowControl/>
        <w:snapToGrid w:val="0"/>
        <w:spacing w:line="400" w:lineRule="exact"/>
        <w:jc w:val="left"/>
        <w:outlineLvl w:val="2"/>
        <w:rPr>
          <w:rFonts w:ascii="宋体" w:hAnsi="宋体" w:cs="宋体"/>
          <w:b/>
          <w:bCs/>
          <w:snapToGrid w:val="0"/>
          <w:kern w:val="0"/>
          <w:szCs w:val="21"/>
        </w:rPr>
      </w:pPr>
      <w:bookmarkStart w:id="158" w:name="_Toc54249466"/>
      <w:bookmarkStart w:id="159" w:name="_Toc200513156"/>
      <w:bookmarkStart w:id="160" w:name="_Toc10701"/>
      <w:bookmarkStart w:id="161" w:name="_Toc291847046"/>
      <w:r>
        <w:rPr>
          <w:rFonts w:hint="eastAsia" w:ascii="宋体" w:hAnsi="宋体" w:cs="宋体"/>
          <w:b/>
          <w:bCs/>
          <w:snapToGrid w:val="0"/>
          <w:kern w:val="0"/>
          <w:szCs w:val="21"/>
        </w:rPr>
        <w:t>4.3  竞标文件的修改与撤回</w:t>
      </w:r>
      <w:bookmarkEnd w:id="158"/>
      <w:bookmarkEnd w:id="159"/>
      <w:bookmarkEnd w:id="160"/>
      <w:bookmarkEnd w:id="161"/>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4.3.1  在本章第2.2.2项规定的竞标截止时间前，竞标人可以修改或撤回已递交的竞标文件，但应以书面形式通知比选人。</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4.3.2  竞标人修改或撤回已递交竞标文件的书面通知应按照本章第3.7.3项的要求签字或盖章。比选人收到书面通知后，向竞标人出具签收凭证。</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4.3.3  修改的内容为竞标文件的组成部分。修改的竞标文件应按照本章第3条、第4条规定进行编制、密封、标记和递交，并标明“修改”字样。</w:t>
      </w:r>
    </w:p>
    <w:p>
      <w:pPr>
        <w:widowControl/>
        <w:snapToGrid w:val="0"/>
        <w:spacing w:line="400" w:lineRule="exact"/>
        <w:jc w:val="left"/>
        <w:outlineLvl w:val="2"/>
        <w:rPr>
          <w:rFonts w:ascii="宋体" w:hAnsi="宋体" w:cs="宋体"/>
          <w:b/>
          <w:bCs/>
          <w:snapToGrid w:val="0"/>
          <w:kern w:val="0"/>
          <w:szCs w:val="21"/>
        </w:rPr>
      </w:pPr>
      <w:bookmarkStart w:id="162" w:name="_Toc54249467"/>
      <w:bookmarkStart w:id="163" w:name="_Toc291847047"/>
      <w:bookmarkStart w:id="164" w:name="_Toc9765"/>
      <w:bookmarkStart w:id="165" w:name="_Toc200513157"/>
      <w:r>
        <w:rPr>
          <w:rFonts w:hint="eastAsia" w:ascii="宋体" w:hAnsi="宋体" w:cs="宋体"/>
          <w:b/>
          <w:bCs/>
          <w:snapToGrid w:val="0"/>
          <w:kern w:val="0"/>
          <w:szCs w:val="21"/>
        </w:rPr>
        <w:t>5.  开标</w:t>
      </w:r>
      <w:bookmarkEnd w:id="162"/>
      <w:bookmarkEnd w:id="163"/>
      <w:bookmarkEnd w:id="164"/>
      <w:bookmarkEnd w:id="165"/>
    </w:p>
    <w:p>
      <w:pPr>
        <w:widowControl/>
        <w:snapToGrid w:val="0"/>
        <w:spacing w:line="400" w:lineRule="exact"/>
        <w:jc w:val="left"/>
        <w:outlineLvl w:val="2"/>
        <w:rPr>
          <w:rFonts w:ascii="宋体" w:hAnsi="宋体" w:cs="宋体"/>
          <w:b/>
          <w:bCs/>
          <w:snapToGrid w:val="0"/>
          <w:kern w:val="0"/>
          <w:szCs w:val="21"/>
        </w:rPr>
      </w:pPr>
      <w:bookmarkStart w:id="166" w:name="_Toc54249468"/>
      <w:bookmarkStart w:id="167" w:name="_Toc200513158"/>
      <w:bookmarkStart w:id="168" w:name="_Toc291847048"/>
      <w:bookmarkStart w:id="169" w:name="_Toc6341"/>
      <w:r>
        <w:rPr>
          <w:rFonts w:hint="eastAsia" w:ascii="宋体" w:hAnsi="宋体" w:cs="宋体"/>
          <w:b/>
          <w:bCs/>
          <w:snapToGrid w:val="0"/>
          <w:kern w:val="0"/>
          <w:szCs w:val="21"/>
        </w:rPr>
        <w:t>5.1  开标时间和地点</w:t>
      </w:r>
      <w:bookmarkEnd w:id="166"/>
      <w:bookmarkEnd w:id="167"/>
      <w:bookmarkEnd w:id="168"/>
      <w:bookmarkEnd w:id="169"/>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比选人在本章第 2.2.2 项规定的竞标截止时间（开标时间）和竞标人须知前附表规定的地点公开开标，所有竞标人的法定代表人或其委托代理人准时参加。</w:t>
      </w:r>
    </w:p>
    <w:p>
      <w:pPr>
        <w:widowControl/>
        <w:snapToGrid w:val="0"/>
        <w:spacing w:line="400" w:lineRule="exact"/>
        <w:jc w:val="left"/>
        <w:outlineLvl w:val="2"/>
        <w:rPr>
          <w:rFonts w:ascii="宋体" w:hAnsi="宋体" w:cs="宋体"/>
          <w:b/>
          <w:bCs/>
          <w:snapToGrid w:val="0"/>
          <w:kern w:val="0"/>
          <w:szCs w:val="21"/>
        </w:rPr>
      </w:pPr>
      <w:bookmarkStart w:id="170" w:name="_Toc54249469"/>
      <w:bookmarkStart w:id="171" w:name="_Toc22750"/>
      <w:bookmarkStart w:id="172" w:name="_Toc200513159"/>
      <w:bookmarkStart w:id="173" w:name="_Toc291847049"/>
      <w:r>
        <w:rPr>
          <w:rFonts w:hint="eastAsia" w:ascii="宋体" w:hAnsi="宋体" w:cs="宋体"/>
          <w:b/>
          <w:bCs/>
          <w:snapToGrid w:val="0"/>
          <w:kern w:val="0"/>
          <w:szCs w:val="21"/>
        </w:rPr>
        <w:t>5.2  开标程序</w:t>
      </w:r>
      <w:bookmarkEnd w:id="170"/>
      <w:bookmarkEnd w:id="171"/>
      <w:bookmarkEnd w:id="172"/>
      <w:bookmarkEnd w:id="173"/>
    </w:p>
    <w:p>
      <w:pPr>
        <w:widowControl/>
        <w:snapToGrid w:val="0"/>
        <w:spacing w:line="400" w:lineRule="exact"/>
        <w:jc w:val="left"/>
        <w:outlineLvl w:val="2"/>
        <w:rPr>
          <w:rFonts w:ascii="宋体" w:hAnsi="宋体" w:cs="宋体"/>
          <w:b/>
          <w:bCs/>
          <w:snapToGrid w:val="0"/>
          <w:kern w:val="0"/>
          <w:szCs w:val="21"/>
        </w:rPr>
      </w:pPr>
      <w:bookmarkStart w:id="174" w:name="_Toc54249470"/>
      <w:r>
        <w:rPr>
          <w:rFonts w:hint="eastAsia" w:ascii="宋体" w:hAnsi="宋体" w:cs="宋体"/>
          <w:b/>
          <w:bCs/>
          <w:snapToGrid w:val="0"/>
          <w:kern w:val="0"/>
          <w:szCs w:val="21"/>
        </w:rPr>
        <w:t>详竞标须知前附表5.2项要求。</w:t>
      </w:r>
      <w:bookmarkEnd w:id="174"/>
    </w:p>
    <w:p>
      <w:pPr>
        <w:widowControl/>
        <w:snapToGrid w:val="0"/>
        <w:spacing w:line="400" w:lineRule="exact"/>
        <w:jc w:val="left"/>
        <w:outlineLvl w:val="2"/>
        <w:rPr>
          <w:rFonts w:ascii="宋体" w:hAnsi="宋体" w:cs="宋体"/>
          <w:b/>
          <w:bCs/>
          <w:snapToGrid w:val="0"/>
          <w:kern w:val="0"/>
          <w:szCs w:val="21"/>
        </w:rPr>
      </w:pPr>
      <w:bookmarkStart w:id="175" w:name="_Toc54249471"/>
      <w:bookmarkStart w:id="176" w:name="_Toc9171"/>
      <w:bookmarkStart w:id="177" w:name="_Toc200513160"/>
      <w:bookmarkStart w:id="178" w:name="_Toc291847050"/>
      <w:r>
        <w:rPr>
          <w:rFonts w:hint="eastAsia" w:ascii="宋体" w:hAnsi="宋体" w:cs="宋体"/>
          <w:b/>
          <w:bCs/>
          <w:snapToGrid w:val="0"/>
          <w:kern w:val="0"/>
          <w:szCs w:val="21"/>
        </w:rPr>
        <w:t>6.  评标</w:t>
      </w:r>
      <w:bookmarkEnd w:id="175"/>
      <w:bookmarkEnd w:id="176"/>
      <w:bookmarkEnd w:id="177"/>
      <w:bookmarkEnd w:id="178"/>
    </w:p>
    <w:p>
      <w:pPr>
        <w:widowControl/>
        <w:snapToGrid w:val="0"/>
        <w:spacing w:line="400" w:lineRule="exact"/>
        <w:jc w:val="left"/>
        <w:outlineLvl w:val="2"/>
        <w:rPr>
          <w:rFonts w:ascii="宋体" w:hAnsi="宋体" w:cs="宋体"/>
          <w:b/>
          <w:bCs/>
          <w:snapToGrid w:val="0"/>
          <w:kern w:val="0"/>
          <w:szCs w:val="21"/>
        </w:rPr>
      </w:pPr>
      <w:bookmarkStart w:id="179" w:name="_Toc54249472"/>
      <w:bookmarkStart w:id="180" w:name="_Toc291847051"/>
      <w:bookmarkStart w:id="181" w:name="_Toc200513161"/>
      <w:bookmarkStart w:id="182" w:name="_Toc26536"/>
      <w:r>
        <w:rPr>
          <w:rFonts w:hint="eastAsia" w:ascii="宋体" w:hAnsi="宋体" w:cs="宋体"/>
          <w:b/>
          <w:bCs/>
          <w:snapToGrid w:val="0"/>
          <w:kern w:val="0"/>
          <w:szCs w:val="21"/>
        </w:rPr>
        <w:t>6.1  评标委员会</w:t>
      </w:r>
      <w:bookmarkEnd w:id="179"/>
      <w:bookmarkEnd w:id="180"/>
      <w:bookmarkEnd w:id="181"/>
      <w:bookmarkEnd w:id="182"/>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6.1.1  评标由比选人依法组建的评标委员会负责。评标委员会由比选人或其委托的比选代理机构熟悉相关业务的代表，以及有关技术、经济等方面的专家组成。评标委员会成员人数以及技术、经济等方面专家的确定方式见竞标人须知前附表。</w:t>
      </w:r>
    </w:p>
    <w:p>
      <w:pPr>
        <w:autoSpaceDE w:val="0"/>
        <w:autoSpaceDN w:val="0"/>
        <w:adjustRightInd w:val="0"/>
        <w:snapToGrid w:val="0"/>
        <w:spacing w:line="40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6.1.2  评标委员会成员有下列情形之一的，应当回避：</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（1）比选人或竞标人的主要负责人的近亲属；</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（2）项目主管部门或者行政监督部门的人员；</w:t>
      </w:r>
    </w:p>
    <w:p>
      <w:pPr>
        <w:autoSpaceDE w:val="0"/>
        <w:autoSpaceDN w:val="0"/>
        <w:adjustRightInd w:val="0"/>
        <w:snapToGrid w:val="0"/>
        <w:spacing w:line="400" w:lineRule="exact"/>
        <w:ind w:left="359" w:leftChars="171"/>
        <w:jc w:val="left"/>
        <w:rPr>
          <w:rFonts w:ascii="宋体" w:hAnsi="宋体" w:cs="宋体"/>
          <w:snapToGrid w:val="0"/>
          <w:kern w:val="0"/>
          <w:szCs w:val="21"/>
        </w:rPr>
      </w:pPr>
      <w:r>
        <w:rPr>
          <w:rFonts w:hint="eastAsia" w:ascii="宋体" w:hAnsi="宋体" w:cs="宋体"/>
          <w:snapToGrid w:val="0"/>
          <w:kern w:val="0"/>
          <w:szCs w:val="21"/>
        </w:rPr>
        <w:t>（3）与竞标人有经济利益关系，可能影响对竞标公正评审的；</w:t>
      </w:r>
    </w:p>
    <w:p>
      <w:pPr>
        <w:autoSpaceDE w:val="0"/>
        <w:autoSpaceDN w:val="0"/>
        <w:adjustRightInd w:val="0"/>
        <w:snapToGrid w:val="0"/>
        <w:spacing w:line="400" w:lineRule="exact"/>
        <w:ind w:firstLine="363" w:firstLineChars="173"/>
        <w:jc w:val="left"/>
        <w:rPr>
          <w:rFonts w:ascii="宋体" w:hAnsi="宋体" w:cs="宋体"/>
          <w:snapToGrid w:val="0"/>
          <w:kern w:val="0"/>
          <w:szCs w:val="21"/>
        </w:rPr>
      </w:pPr>
      <w:r>
        <w:rPr>
          <w:rFonts w:hint="eastAsia" w:ascii="宋体" w:hAnsi="宋体" w:cs="宋体"/>
          <w:snapToGrid w:val="0"/>
          <w:kern w:val="0"/>
          <w:szCs w:val="21"/>
        </w:rPr>
        <w:t>（4）曾因在招标、评标以及其他与招标投标有关活动中从事违法行为而受过行政处罚或刑事处罚的。</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6.1.3  评标委员会成员的名单在中标结果确定前应当保密。</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6.1.4  评标委员会成员到达现场时应在签到表（附表）上签到以证明其出席。</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6.1.5  评标委员会首先应推选一名评标委员会组长，比选人也可以直接指定评标委员会组长。评标委员会组长负责评标活动的组织领导工作。组长和成员在表决时享有同等的权利。</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6.1.6  评标委员会应严格按照比选文件规定的评标办法和本程序规定进行评标，不得改变比选文件中规定的评标标准、方法和中标条件。</w:t>
      </w:r>
    </w:p>
    <w:p>
      <w:pPr>
        <w:widowControl/>
        <w:snapToGrid w:val="0"/>
        <w:spacing w:line="400" w:lineRule="exact"/>
        <w:jc w:val="left"/>
        <w:outlineLvl w:val="2"/>
        <w:rPr>
          <w:rFonts w:ascii="宋体" w:hAnsi="宋体" w:cs="宋体"/>
          <w:b/>
          <w:bCs/>
          <w:snapToGrid w:val="0"/>
          <w:kern w:val="0"/>
          <w:szCs w:val="21"/>
        </w:rPr>
      </w:pPr>
      <w:bookmarkStart w:id="183" w:name="_Toc54249473"/>
      <w:bookmarkStart w:id="184" w:name="_Toc291847052"/>
      <w:bookmarkStart w:id="185" w:name="_Toc200513162"/>
      <w:bookmarkStart w:id="186" w:name="_Toc6847"/>
      <w:r>
        <w:rPr>
          <w:rFonts w:hint="eastAsia" w:ascii="宋体" w:hAnsi="宋体" w:cs="宋体"/>
          <w:b/>
          <w:bCs/>
          <w:snapToGrid w:val="0"/>
          <w:kern w:val="0"/>
          <w:szCs w:val="21"/>
        </w:rPr>
        <w:t>6.2  评标原则</w:t>
      </w:r>
      <w:bookmarkEnd w:id="183"/>
      <w:bookmarkEnd w:id="184"/>
      <w:bookmarkEnd w:id="185"/>
      <w:bookmarkEnd w:id="186"/>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6.2.1 公平、公正、科学和择优；</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6.2.2 依法评标、严格保密；</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6.2.3 反对不正当竞争；</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6.2.4 定性的结论由评标委员会全体成员按少数服从多数的原则，以记名投票方式决定。</w:t>
      </w:r>
    </w:p>
    <w:p>
      <w:pPr>
        <w:widowControl/>
        <w:snapToGrid w:val="0"/>
        <w:spacing w:line="400" w:lineRule="exact"/>
        <w:jc w:val="left"/>
        <w:outlineLvl w:val="2"/>
        <w:rPr>
          <w:rFonts w:ascii="宋体" w:hAnsi="宋体" w:cs="宋体"/>
          <w:b/>
          <w:bCs/>
          <w:snapToGrid w:val="0"/>
          <w:kern w:val="0"/>
          <w:szCs w:val="21"/>
        </w:rPr>
      </w:pPr>
      <w:bookmarkStart w:id="187" w:name="_Toc54249474"/>
      <w:bookmarkStart w:id="188" w:name="_Toc291847053"/>
      <w:bookmarkStart w:id="189" w:name="_Toc200513163"/>
      <w:bookmarkStart w:id="190" w:name="_Toc32680"/>
      <w:r>
        <w:rPr>
          <w:rFonts w:hint="eastAsia" w:ascii="宋体" w:hAnsi="宋体" w:cs="宋体"/>
          <w:b/>
          <w:bCs/>
          <w:snapToGrid w:val="0"/>
          <w:kern w:val="0"/>
          <w:szCs w:val="21"/>
        </w:rPr>
        <w:t>6.3  评标</w:t>
      </w:r>
      <w:bookmarkEnd w:id="187"/>
      <w:bookmarkEnd w:id="188"/>
      <w:bookmarkEnd w:id="189"/>
      <w:bookmarkEnd w:id="190"/>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评标委员会按照第三章“评标办法”规定的方法、评审因素、标准和程序对竞标文件进行评审。第三章“评标办法”没有规定的方法、评审因素和标准，不作为评标依据。</w:t>
      </w:r>
    </w:p>
    <w:p>
      <w:pPr>
        <w:widowControl/>
        <w:snapToGrid w:val="0"/>
        <w:spacing w:line="400" w:lineRule="exact"/>
        <w:jc w:val="left"/>
        <w:outlineLvl w:val="2"/>
        <w:rPr>
          <w:rFonts w:ascii="宋体" w:hAnsi="宋体" w:cs="宋体"/>
          <w:b/>
          <w:bCs/>
          <w:snapToGrid w:val="0"/>
          <w:kern w:val="0"/>
          <w:szCs w:val="21"/>
        </w:rPr>
      </w:pPr>
      <w:bookmarkStart w:id="191" w:name="_Toc54249475"/>
      <w:bookmarkStart w:id="192" w:name="_Toc10385"/>
      <w:bookmarkStart w:id="193" w:name="_Toc200513164"/>
      <w:bookmarkStart w:id="194" w:name="_Toc291847054"/>
      <w:r>
        <w:rPr>
          <w:rFonts w:hint="eastAsia" w:ascii="宋体" w:hAnsi="宋体" w:cs="宋体"/>
          <w:b/>
          <w:bCs/>
          <w:snapToGrid w:val="0"/>
          <w:kern w:val="0"/>
          <w:szCs w:val="21"/>
        </w:rPr>
        <w:t>7.  合同授予</w:t>
      </w:r>
      <w:bookmarkEnd w:id="191"/>
      <w:bookmarkEnd w:id="192"/>
      <w:bookmarkEnd w:id="193"/>
      <w:bookmarkEnd w:id="194"/>
    </w:p>
    <w:p>
      <w:pPr>
        <w:widowControl/>
        <w:snapToGrid w:val="0"/>
        <w:spacing w:line="400" w:lineRule="exact"/>
        <w:jc w:val="left"/>
        <w:outlineLvl w:val="2"/>
        <w:rPr>
          <w:rFonts w:ascii="宋体" w:hAnsi="宋体" w:cs="宋体"/>
          <w:b/>
          <w:bCs/>
          <w:snapToGrid w:val="0"/>
          <w:kern w:val="0"/>
          <w:szCs w:val="21"/>
        </w:rPr>
      </w:pPr>
      <w:bookmarkStart w:id="195" w:name="_Toc54249476"/>
      <w:bookmarkStart w:id="196" w:name="_Toc200513165"/>
      <w:bookmarkStart w:id="197" w:name="_Toc291847055"/>
      <w:bookmarkStart w:id="198" w:name="_Toc28764"/>
      <w:r>
        <w:rPr>
          <w:rFonts w:hint="eastAsia" w:ascii="宋体" w:hAnsi="宋体" w:cs="宋体"/>
          <w:b/>
          <w:bCs/>
          <w:snapToGrid w:val="0"/>
          <w:kern w:val="0"/>
          <w:szCs w:val="21"/>
        </w:rPr>
        <w:t>7.1  定标方式</w:t>
      </w:r>
      <w:bookmarkEnd w:id="195"/>
      <w:bookmarkEnd w:id="196"/>
      <w:bookmarkEnd w:id="197"/>
      <w:bookmarkEnd w:id="198"/>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7.1.1 定标原则:能够最大限度地满足比选文件中规定的各项综合评价标准的竞标，应当确定为中标人。</w:t>
      </w:r>
    </w:p>
    <w:p>
      <w:pPr>
        <w:autoSpaceDE w:val="0"/>
        <w:autoSpaceDN w:val="0"/>
        <w:adjustRightInd w:val="0"/>
        <w:snapToGrid w:val="0"/>
        <w:spacing w:line="400" w:lineRule="exact"/>
        <w:ind w:firstLine="420"/>
        <w:rPr>
          <w:rFonts w:ascii="宋体" w:hAnsi="宋体" w:cs="宋体"/>
          <w:spacing w:val="4"/>
          <w:kern w:val="0"/>
          <w:szCs w:val="21"/>
        </w:rPr>
      </w:pPr>
      <w:r>
        <w:rPr>
          <w:rFonts w:hint="eastAsia" w:ascii="宋体" w:hAnsi="宋体" w:cs="宋体"/>
          <w:snapToGrid w:val="0"/>
          <w:kern w:val="0"/>
          <w:szCs w:val="21"/>
        </w:rPr>
        <w:t>7.1.2 定标方法:按照以上定标原则，除竞标人须知前附表规定评标委员会直接确定中标人外，比选人依据评标委员会推荐的中标候选人确定中标人，评标委员会推荐中标候选人的人数见竞标人须知前附表。</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fldChar w:fldCharType="begin"/>
      </w:r>
      <w:r>
        <w:rPr>
          <w:rFonts w:hint="eastAsia" w:ascii="宋体" w:hAnsi="宋体" w:cs="宋体"/>
          <w:snapToGrid w:val="0"/>
          <w:kern w:val="0"/>
          <w:szCs w:val="21"/>
        </w:rPr>
        <w:instrText xml:space="preserve"> = 1 \* GB3 </w:instrText>
      </w:r>
      <w:r>
        <w:rPr>
          <w:rFonts w:hint="eastAsia" w:ascii="宋体" w:hAnsi="宋体" w:cs="宋体"/>
          <w:snapToGrid w:val="0"/>
          <w:kern w:val="0"/>
          <w:szCs w:val="21"/>
        </w:rPr>
        <w:fldChar w:fldCharType="separate"/>
      </w:r>
      <w:r>
        <w:rPr>
          <w:rFonts w:hint="eastAsia" w:ascii="宋体" w:hAnsi="宋体" w:cs="宋体"/>
          <w:snapToGrid w:val="0"/>
          <w:kern w:val="0"/>
          <w:szCs w:val="21"/>
        </w:rPr>
        <w:t>①</w:t>
      </w:r>
      <w:r>
        <w:rPr>
          <w:rFonts w:hint="eastAsia" w:ascii="宋体" w:hAnsi="宋体" w:cs="宋体"/>
          <w:snapToGrid w:val="0"/>
          <w:kern w:val="0"/>
          <w:szCs w:val="21"/>
        </w:rPr>
        <w:fldChar w:fldCharType="end"/>
      </w:r>
      <w:r>
        <w:rPr>
          <w:rFonts w:hint="eastAsia" w:ascii="宋体" w:hAnsi="宋体" w:cs="宋体"/>
          <w:snapToGrid w:val="0"/>
          <w:kern w:val="0"/>
          <w:szCs w:val="21"/>
        </w:rPr>
        <w:t>比选人应当确定评标委员会在评标报告中推荐排名第一的中标候选人为中标人。</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fldChar w:fldCharType="begin"/>
      </w:r>
      <w:r>
        <w:rPr>
          <w:rFonts w:hint="eastAsia" w:ascii="宋体" w:hAnsi="宋体" w:cs="宋体"/>
          <w:snapToGrid w:val="0"/>
          <w:kern w:val="0"/>
          <w:szCs w:val="21"/>
        </w:rPr>
        <w:instrText xml:space="preserve"> = 2 \* GB3 </w:instrText>
      </w:r>
      <w:r>
        <w:rPr>
          <w:rFonts w:hint="eastAsia" w:ascii="宋体" w:hAnsi="宋体" w:cs="宋体"/>
          <w:snapToGrid w:val="0"/>
          <w:kern w:val="0"/>
          <w:szCs w:val="21"/>
        </w:rPr>
        <w:fldChar w:fldCharType="separate"/>
      </w:r>
      <w:r>
        <w:rPr>
          <w:rFonts w:hint="eastAsia" w:ascii="宋体" w:hAnsi="宋体" w:cs="宋体"/>
          <w:snapToGrid w:val="0"/>
          <w:kern w:val="0"/>
          <w:szCs w:val="21"/>
        </w:rPr>
        <w:t>②</w:t>
      </w:r>
      <w:r>
        <w:rPr>
          <w:rFonts w:hint="eastAsia" w:ascii="宋体" w:hAnsi="宋体" w:cs="宋体"/>
          <w:snapToGrid w:val="0"/>
          <w:kern w:val="0"/>
          <w:szCs w:val="21"/>
        </w:rPr>
        <w:fldChar w:fldCharType="end"/>
      </w:r>
      <w:r>
        <w:rPr>
          <w:rFonts w:hint="eastAsia" w:ascii="宋体" w:hAnsi="宋体" w:cs="宋体"/>
          <w:snapToGrid w:val="0"/>
          <w:kern w:val="0"/>
          <w:szCs w:val="21"/>
        </w:rPr>
        <w:t>如果排名第一的中标候选人放弃中标、因不可抗力提出不能履行合同，比选人可以确定排名第二的中标候选人为中标人。排名第二的中标候选人因上述同样的原因不能签订合同的，比选人可以确定排名第三的中标候选人为中标人。</w:t>
      </w:r>
    </w:p>
    <w:p>
      <w:pPr>
        <w:widowControl/>
        <w:snapToGrid w:val="0"/>
        <w:spacing w:line="400" w:lineRule="exact"/>
        <w:jc w:val="left"/>
        <w:outlineLvl w:val="2"/>
        <w:rPr>
          <w:rFonts w:ascii="宋体" w:hAnsi="宋体" w:cs="宋体"/>
          <w:b/>
          <w:bCs/>
          <w:snapToGrid w:val="0"/>
          <w:kern w:val="0"/>
          <w:szCs w:val="21"/>
        </w:rPr>
      </w:pPr>
      <w:bookmarkStart w:id="199" w:name="_Toc200513166"/>
      <w:bookmarkStart w:id="200" w:name="_Toc54249477"/>
      <w:bookmarkStart w:id="201" w:name="_Toc13595"/>
      <w:bookmarkStart w:id="202" w:name="_Toc291847056"/>
      <w:r>
        <w:rPr>
          <w:rFonts w:hint="eastAsia" w:ascii="宋体" w:hAnsi="宋体" w:cs="宋体"/>
          <w:b/>
          <w:bCs/>
          <w:snapToGrid w:val="0"/>
          <w:kern w:val="0"/>
          <w:szCs w:val="21"/>
        </w:rPr>
        <w:t>7.2  中标通知</w:t>
      </w:r>
      <w:bookmarkEnd w:id="199"/>
      <w:bookmarkEnd w:id="200"/>
      <w:bookmarkEnd w:id="201"/>
      <w:bookmarkEnd w:id="202"/>
    </w:p>
    <w:p>
      <w:pPr>
        <w:widowControl/>
        <w:snapToGrid w:val="0"/>
        <w:spacing w:line="400" w:lineRule="exact"/>
        <w:ind w:firstLine="420" w:firstLineChars="200"/>
        <w:jc w:val="left"/>
        <w:outlineLvl w:val="2"/>
        <w:rPr>
          <w:rFonts w:ascii="宋体" w:hAnsi="宋体" w:cs="宋体"/>
          <w:snapToGrid w:val="0"/>
          <w:kern w:val="0"/>
          <w:szCs w:val="21"/>
        </w:rPr>
      </w:pPr>
      <w:bookmarkStart w:id="203" w:name="_Toc54249478"/>
      <w:bookmarkStart w:id="204" w:name="_Toc200513168"/>
      <w:bookmarkStart w:id="205" w:name="_Toc291847057"/>
      <w:bookmarkStart w:id="206" w:name="_Toc10093"/>
      <w:r>
        <w:rPr>
          <w:rFonts w:hint="eastAsia" w:ascii="宋体" w:hAnsi="宋体" w:cs="宋体"/>
          <w:snapToGrid w:val="0"/>
          <w:kern w:val="0"/>
          <w:szCs w:val="21"/>
        </w:rPr>
        <w:t>在本章第 3.3 款规定的投标有效期内，比选人以书面形式向中选人发出中标通知书，同时将中标结果通知未中标的竞选人。</w:t>
      </w:r>
    </w:p>
    <w:p>
      <w:pPr>
        <w:widowControl/>
        <w:snapToGrid w:val="0"/>
        <w:spacing w:line="400" w:lineRule="exact"/>
        <w:jc w:val="left"/>
        <w:outlineLvl w:val="2"/>
        <w:rPr>
          <w:rFonts w:ascii="宋体" w:hAnsi="宋体" w:cs="宋体"/>
          <w:b/>
          <w:bCs/>
          <w:snapToGrid w:val="0"/>
          <w:kern w:val="0"/>
          <w:szCs w:val="21"/>
        </w:rPr>
      </w:pPr>
      <w:r>
        <w:rPr>
          <w:rFonts w:hint="eastAsia" w:ascii="宋体" w:hAnsi="宋体" w:cs="宋体"/>
          <w:b/>
          <w:bCs/>
          <w:snapToGrid w:val="0"/>
          <w:kern w:val="0"/>
          <w:szCs w:val="21"/>
        </w:rPr>
        <w:t>7.3  签订合同</w:t>
      </w:r>
      <w:bookmarkEnd w:id="203"/>
      <w:bookmarkEnd w:id="204"/>
      <w:bookmarkEnd w:id="205"/>
      <w:bookmarkEnd w:id="206"/>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7.3.1 比选人和中标人应当自中标通知书发出之日起 7 天内，根据比选文件和中标人的竞标文件订立书面合同。中标人无正当理由拒签合同的，比选人取消其中标资格，其竞标保证金不予退还；给比选人造成的损失超过竞标保证金数额的，中标人还应当对超过部分予以赔偿。</w:t>
      </w:r>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7.3.2  发出中标通知书后，比选人无正当理由拒签合同的，比选人向中标人退还竞标保证金；给中标人造成损失的，还应当赔偿损失。</w:t>
      </w:r>
    </w:p>
    <w:p>
      <w:pPr>
        <w:widowControl/>
        <w:snapToGrid w:val="0"/>
        <w:spacing w:line="400" w:lineRule="exact"/>
        <w:jc w:val="left"/>
        <w:outlineLvl w:val="2"/>
        <w:rPr>
          <w:rFonts w:ascii="宋体" w:hAnsi="宋体" w:cs="宋体"/>
          <w:b/>
          <w:bCs/>
          <w:snapToGrid w:val="0"/>
          <w:kern w:val="0"/>
          <w:szCs w:val="21"/>
        </w:rPr>
      </w:pPr>
      <w:bookmarkStart w:id="207" w:name="_Toc200513169"/>
      <w:bookmarkStart w:id="208" w:name="_Toc291847058"/>
      <w:bookmarkStart w:id="209" w:name="_Toc4091"/>
      <w:bookmarkStart w:id="210" w:name="_Toc54249479"/>
      <w:r>
        <w:rPr>
          <w:rFonts w:hint="eastAsia" w:ascii="宋体" w:hAnsi="宋体" w:cs="宋体"/>
          <w:b/>
          <w:bCs/>
          <w:snapToGrid w:val="0"/>
          <w:kern w:val="0"/>
          <w:szCs w:val="21"/>
        </w:rPr>
        <w:t>8.  重新</w:t>
      </w:r>
      <w:bookmarkEnd w:id="207"/>
      <w:bookmarkEnd w:id="208"/>
      <w:bookmarkEnd w:id="209"/>
      <w:r>
        <w:rPr>
          <w:rFonts w:hint="eastAsia" w:ascii="宋体" w:hAnsi="宋体" w:cs="宋体"/>
          <w:b/>
          <w:bCs/>
          <w:snapToGrid w:val="0"/>
          <w:kern w:val="0"/>
          <w:szCs w:val="21"/>
        </w:rPr>
        <w:t>比选和不再比选</w:t>
      </w:r>
      <w:bookmarkEnd w:id="210"/>
    </w:p>
    <w:p>
      <w:pPr>
        <w:widowControl/>
        <w:snapToGrid w:val="0"/>
        <w:spacing w:line="400" w:lineRule="exact"/>
        <w:ind w:firstLine="420" w:firstLineChars="200"/>
        <w:jc w:val="left"/>
        <w:outlineLvl w:val="2"/>
        <w:rPr>
          <w:rFonts w:ascii="宋体" w:hAnsi="宋体" w:cs="宋体"/>
          <w:kern w:val="0"/>
          <w:szCs w:val="21"/>
        </w:rPr>
      </w:pPr>
      <w:bookmarkStart w:id="211" w:name="_Toc54249480"/>
      <w:bookmarkStart w:id="212" w:name="_Toc14413"/>
      <w:bookmarkStart w:id="213" w:name="_Toc291847061"/>
      <w:bookmarkStart w:id="214" w:name="_Toc200513172"/>
      <w:r>
        <w:rPr>
          <w:rFonts w:hint="eastAsia" w:ascii="宋体" w:hAnsi="宋体" w:cs="宋体"/>
          <w:kern w:val="0"/>
          <w:szCs w:val="21"/>
        </w:rPr>
        <w:t>8.1重新比选</w:t>
      </w:r>
      <w:bookmarkEnd w:id="211"/>
    </w:p>
    <w:p>
      <w:pPr>
        <w:widowControl/>
        <w:snapToGrid w:val="0"/>
        <w:spacing w:line="400" w:lineRule="exact"/>
        <w:ind w:firstLine="420" w:firstLineChars="200"/>
        <w:jc w:val="left"/>
        <w:outlineLvl w:val="2"/>
        <w:rPr>
          <w:rFonts w:ascii="宋体" w:hAnsi="宋体" w:cs="宋体"/>
          <w:snapToGrid w:val="0"/>
          <w:kern w:val="0"/>
          <w:szCs w:val="21"/>
        </w:rPr>
      </w:pPr>
      <w:bookmarkStart w:id="215" w:name="_Toc54249481"/>
      <w:r>
        <w:rPr>
          <w:rFonts w:hint="eastAsia" w:ascii="宋体" w:hAnsi="宋体" w:cs="宋体"/>
          <w:snapToGrid w:val="0"/>
          <w:kern w:val="0"/>
          <w:szCs w:val="21"/>
        </w:rPr>
        <w:t>经评选后，如有效竞标人不足三个的，但</w:t>
      </w:r>
      <w:r>
        <w:rPr>
          <w:rFonts w:hint="eastAsia" w:ascii="宋体" w:hAnsi="宋体"/>
          <w:kern w:val="0"/>
          <w:szCs w:val="21"/>
        </w:rPr>
        <w:t>竞标</w:t>
      </w:r>
      <w:r>
        <w:rPr>
          <w:rFonts w:hint="eastAsia" w:ascii="宋体" w:hAnsi="宋体" w:cs="宋体"/>
          <w:snapToGrid w:val="0"/>
          <w:kern w:val="0"/>
          <w:szCs w:val="21"/>
        </w:rPr>
        <w:t>未明显缺乏竞争的，评选委员会应当继续评选。若否决全部</w:t>
      </w:r>
      <w:r>
        <w:rPr>
          <w:rFonts w:hint="eastAsia" w:ascii="宋体" w:hAnsi="宋体"/>
          <w:kern w:val="0"/>
          <w:szCs w:val="21"/>
        </w:rPr>
        <w:t>竞标</w:t>
      </w:r>
      <w:r>
        <w:rPr>
          <w:rFonts w:hint="eastAsia" w:ascii="宋体" w:hAnsi="宋体" w:cs="宋体"/>
          <w:snapToGrid w:val="0"/>
          <w:kern w:val="0"/>
          <w:szCs w:val="21"/>
        </w:rPr>
        <w:t>，比选人将重新组织比选。</w:t>
      </w:r>
      <w:bookmarkEnd w:id="215"/>
    </w:p>
    <w:p>
      <w:pPr>
        <w:widowControl/>
        <w:snapToGrid w:val="0"/>
        <w:spacing w:line="400" w:lineRule="exact"/>
        <w:ind w:firstLine="420" w:firstLineChars="200"/>
        <w:jc w:val="left"/>
        <w:outlineLvl w:val="2"/>
        <w:rPr>
          <w:rFonts w:ascii="宋体" w:hAnsi="宋体" w:cs="宋体"/>
        </w:rPr>
      </w:pPr>
      <w:bookmarkStart w:id="216" w:name="_Toc54249482"/>
      <w:r>
        <w:rPr>
          <w:rFonts w:hint="eastAsia" w:ascii="宋体" w:hAnsi="宋体" w:cs="宋体"/>
        </w:rPr>
        <w:t>8.2不再比选</w:t>
      </w:r>
      <w:bookmarkEnd w:id="216"/>
    </w:p>
    <w:p>
      <w:pPr>
        <w:widowControl/>
        <w:snapToGrid w:val="0"/>
        <w:spacing w:line="400" w:lineRule="exact"/>
        <w:ind w:firstLine="420" w:firstLineChars="200"/>
        <w:jc w:val="left"/>
        <w:outlineLvl w:val="2"/>
        <w:rPr>
          <w:rFonts w:ascii="宋体" w:hAnsi="宋体" w:cs="宋体"/>
          <w:b/>
          <w:bCs/>
          <w:snapToGrid w:val="0"/>
          <w:kern w:val="0"/>
          <w:szCs w:val="21"/>
        </w:rPr>
      </w:pPr>
      <w:bookmarkStart w:id="217" w:name="_Toc54249483"/>
      <w:r>
        <w:rPr>
          <w:rFonts w:hint="eastAsia" w:ascii="宋体" w:hAnsi="宋体" w:cs="宋体"/>
          <w:snapToGrid w:val="0"/>
          <w:kern w:val="0"/>
          <w:szCs w:val="21"/>
        </w:rPr>
        <w:t>重新比选后竞标人仍少于三人，按法定程序开标和评选，确定中标人。经评审无合格竞标人，属于审批或核准项目的，报经原审批部门批准可以不再比选；</w:t>
      </w:r>
      <w:bookmarkEnd w:id="217"/>
    </w:p>
    <w:p>
      <w:pPr>
        <w:widowControl/>
        <w:snapToGrid w:val="0"/>
        <w:spacing w:line="400" w:lineRule="exact"/>
        <w:jc w:val="left"/>
        <w:outlineLvl w:val="2"/>
        <w:rPr>
          <w:rFonts w:ascii="宋体" w:hAnsi="宋体" w:cs="宋体"/>
          <w:b/>
          <w:bCs/>
          <w:snapToGrid w:val="0"/>
          <w:kern w:val="0"/>
          <w:szCs w:val="21"/>
        </w:rPr>
      </w:pPr>
      <w:bookmarkStart w:id="218" w:name="_Toc54249484"/>
      <w:r>
        <w:rPr>
          <w:rFonts w:hint="eastAsia" w:ascii="宋体" w:hAnsi="宋体" w:cs="宋体"/>
          <w:b/>
          <w:bCs/>
          <w:snapToGrid w:val="0"/>
          <w:kern w:val="0"/>
          <w:szCs w:val="21"/>
        </w:rPr>
        <w:t>9.  纪律和监督</w:t>
      </w:r>
      <w:bookmarkEnd w:id="212"/>
      <w:bookmarkEnd w:id="213"/>
      <w:bookmarkEnd w:id="214"/>
      <w:bookmarkEnd w:id="218"/>
    </w:p>
    <w:p>
      <w:pPr>
        <w:widowControl/>
        <w:snapToGrid w:val="0"/>
        <w:spacing w:line="400" w:lineRule="exact"/>
        <w:jc w:val="left"/>
        <w:outlineLvl w:val="2"/>
        <w:rPr>
          <w:rFonts w:ascii="宋体" w:hAnsi="宋体" w:cs="宋体"/>
          <w:b/>
          <w:bCs/>
          <w:snapToGrid w:val="0"/>
          <w:kern w:val="0"/>
          <w:szCs w:val="21"/>
        </w:rPr>
      </w:pPr>
      <w:bookmarkStart w:id="219" w:name="_Toc200513173"/>
      <w:bookmarkStart w:id="220" w:name="_Toc54249485"/>
      <w:bookmarkStart w:id="221" w:name="_Toc29375"/>
      <w:bookmarkStart w:id="222" w:name="_Toc291847062"/>
      <w:r>
        <w:rPr>
          <w:rFonts w:hint="eastAsia" w:ascii="宋体" w:hAnsi="宋体" w:cs="宋体"/>
          <w:b/>
          <w:bCs/>
          <w:snapToGrid w:val="0"/>
          <w:kern w:val="0"/>
          <w:szCs w:val="21"/>
        </w:rPr>
        <w:t>9.1  对比选人的纪律要求</w:t>
      </w:r>
      <w:bookmarkEnd w:id="219"/>
      <w:bookmarkEnd w:id="220"/>
      <w:bookmarkEnd w:id="221"/>
      <w:bookmarkEnd w:id="222"/>
    </w:p>
    <w:p>
      <w:pPr>
        <w:autoSpaceDE w:val="0"/>
        <w:autoSpaceDN w:val="0"/>
        <w:adjustRightInd w:val="0"/>
        <w:snapToGrid w:val="0"/>
        <w:spacing w:line="400" w:lineRule="exact"/>
        <w:ind w:firstLine="420"/>
        <w:jc w:val="left"/>
        <w:rPr>
          <w:rFonts w:ascii="宋体" w:hAnsi="宋体" w:cs="宋体"/>
          <w:snapToGrid w:val="0"/>
          <w:kern w:val="0"/>
          <w:szCs w:val="21"/>
        </w:rPr>
      </w:pPr>
      <w:r>
        <w:rPr>
          <w:rFonts w:hint="eastAsia" w:ascii="宋体" w:hAnsi="宋体" w:cs="宋体"/>
          <w:snapToGrid w:val="0"/>
          <w:kern w:val="0"/>
          <w:szCs w:val="21"/>
        </w:rPr>
        <w:t>比选人不得泄漏招标投标活动中应当保密的情况和资料，不得与竞标人串通损害国家利益、社会公共利益或者他人合法权益。</w:t>
      </w:r>
    </w:p>
    <w:p>
      <w:pPr>
        <w:widowControl/>
        <w:snapToGrid w:val="0"/>
        <w:spacing w:line="400" w:lineRule="exact"/>
        <w:jc w:val="left"/>
        <w:outlineLvl w:val="2"/>
        <w:rPr>
          <w:rFonts w:ascii="宋体" w:hAnsi="宋体" w:cs="宋体"/>
          <w:b/>
          <w:bCs/>
          <w:snapToGrid w:val="0"/>
          <w:kern w:val="0"/>
          <w:szCs w:val="21"/>
        </w:rPr>
      </w:pPr>
      <w:bookmarkStart w:id="223" w:name="_Toc54249486"/>
      <w:bookmarkStart w:id="224" w:name="_Toc291847063"/>
      <w:bookmarkStart w:id="225" w:name="_Toc5622"/>
      <w:bookmarkStart w:id="226" w:name="_Toc200513174"/>
      <w:r>
        <w:rPr>
          <w:rFonts w:hint="eastAsia" w:ascii="宋体" w:hAnsi="宋体" w:cs="宋体"/>
          <w:b/>
          <w:bCs/>
          <w:snapToGrid w:val="0"/>
          <w:kern w:val="0"/>
          <w:szCs w:val="21"/>
        </w:rPr>
        <w:t>9.2  对竞标人的纪律要求</w:t>
      </w:r>
      <w:bookmarkEnd w:id="223"/>
      <w:bookmarkEnd w:id="224"/>
      <w:bookmarkEnd w:id="225"/>
      <w:bookmarkEnd w:id="226"/>
    </w:p>
    <w:p>
      <w:pPr>
        <w:autoSpaceDE w:val="0"/>
        <w:autoSpaceDN w:val="0"/>
        <w:adjustRightInd w:val="0"/>
        <w:snapToGrid w:val="0"/>
        <w:spacing w:line="400" w:lineRule="exact"/>
        <w:ind w:firstLine="420"/>
        <w:rPr>
          <w:rFonts w:ascii="宋体" w:hAnsi="宋体" w:cs="宋体"/>
          <w:szCs w:val="20"/>
        </w:rPr>
      </w:pPr>
      <w:r>
        <w:rPr>
          <w:rFonts w:hint="eastAsia" w:ascii="宋体" w:hAnsi="宋体" w:cs="宋体"/>
          <w:snapToGrid w:val="0"/>
          <w:kern w:val="0"/>
          <w:szCs w:val="21"/>
        </w:rPr>
        <w:t>竞标人不得相互串通竞标或者与比选人串通竞标，不得向比选人或者评标委员会成员行贿谋取中标，不得以他人名义竞标或者以其他方式弄虚作假骗取中标；竞标人不得以任何方式干扰、影响评标工作。</w:t>
      </w:r>
      <w:r>
        <w:rPr>
          <w:rFonts w:hint="eastAsia" w:ascii="宋体" w:hAnsi="宋体" w:cs="宋体"/>
        </w:rPr>
        <w:br w:type="textWrapping"/>
      </w:r>
      <w:r>
        <w:rPr>
          <w:rFonts w:ascii="宋体" w:hAnsi="宋体" w:cs="宋体"/>
        </w:rPr>
        <w:t>  </w:t>
      </w:r>
      <w:r>
        <w:rPr>
          <w:rFonts w:hint="eastAsia" w:ascii="宋体" w:hAnsi="宋体" w:cs="宋体"/>
        </w:rPr>
        <w:t>有下列情形之一的，属于竞标人相互串通竞标：</w:t>
      </w:r>
      <w:r>
        <w:rPr>
          <w:rFonts w:hint="eastAsia" w:ascii="宋体" w:hAnsi="宋体" w:cs="宋体"/>
        </w:rPr>
        <w:br w:type="textWrapping"/>
      </w:r>
      <w:r>
        <w:rPr>
          <w:rFonts w:ascii="宋体" w:hAnsi="宋体" w:cs="宋体"/>
        </w:rPr>
        <w:t>  </w:t>
      </w:r>
      <w:r>
        <w:rPr>
          <w:rFonts w:hint="eastAsia" w:ascii="宋体" w:hAnsi="宋体" w:cs="宋体"/>
        </w:rPr>
        <w:t>（1）竞标人之间协商竞标报价等竞标文件的实质性内容；</w:t>
      </w:r>
      <w:r>
        <w:rPr>
          <w:rFonts w:hint="eastAsia" w:ascii="宋体" w:hAnsi="宋体" w:cs="宋体"/>
        </w:rPr>
        <w:br w:type="textWrapping"/>
      </w:r>
      <w:r>
        <w:rPr>
          <w:rFonts w:ascii="宋体" w:hAnsi="宋体" w:cs="宋体"/>
        </w:rPr>
        <w:t>  </w:t>
      </w:r>
      <w:r>
        <w:rPr>
          <w:rFonts w:hint="eastAsia" w:ascii="宋体" w:hAnsi="宋体" w:cs="宋体"/>
        </w:rPr>
        <w:t>（2）竞标人之间约定中标人；</w:t>
      </w:r>
      <w:r>
        <w:rPr>
          <w:rFonts w:hint="eastAsia" w:ascii="宋体" w:hAnsi="宋体" w:cs="宋体"/>
        </w:rPr>
        <w:br w:type="textWrapping"/>
      </w:r>
      <w:r>
        <w:rPr>
          <w:rFonts w:ascii="宋体" w:hAnsi="宋体" w:cs="宋体"/>
        </w:rPr>
        <w:t>  </w:t>
      </w:r>
      <w:r>
        <w:rPr>
          <w:rFonts w:hint="eastAsia" w:ascii="宋体" w:hAnsi="宋体" w:cs="宋体"/>
        </w:rPr>
        <w:t>（3）竞标人之间约定部分竞标人放弃竞标或者中标；</w:t>
      </w:r>
      <w:r>
        <w:rPr>
          <w:rFonts w:hint="eastAsia" w:ascii="宋体" w:hAnsi="宋体" w:cs="宋体"/>
        </w:rPr>
        <w:br w:type="textWrapping"/>
      </w:r>
      <w:r>
        <w:rPr>
          <w:rFonts w:ascii="宋体" w:hAnsi="宋体" w:cs="宋体"/>
        </w:rPr>
        <w:t>  </w:t>
      </w:r>
      <w:r>
        <w:rPr>
          <w:rFonts w:hint="eastAsia" w:ascii="宋体" w:hAnsi="宋体" w:cs="宋体"/>
        </w:rPr>
        <w:t>（4）属于同一集团、协会、商会等组织成员的竞标人按照该组织要求协同竞标；</w:t>
      </w:r>
      <w:r>
        <w:rPr>
          <w:rFonts w:hint="eastAsia" w:ascii="宋体" w:hAnsi="宋体" w:cs="宋体"/>
        </w:rPr>
        <w:br w:type="textWrapping"/>
      </w:r>
      <w:r>
        <w:rPr>
          <w:rFonts w:ascii="宋体" w:hAnsi="宋体" w:cs="宋体"/>
        </w:rPr>
        <w:t>  </w:t>
      </w:r>
      <w:r>
        <w:rPr>
          <w:rFonts w:hint="eastAsia" w:ascii="宋体" w:hAnsi="宋体" w:cs="宋体"/>
        </w:rPr>
        <w:t>（5）竞标人之间为谋取中标或者排斥特定竞标人而采取的其他联合行动。</w:t>
      </w:r>
      <w:r>
        <w:rPr>
          <w:rFonts w:hint="eastAsia" w:ascii="宋体" w:hAnsi="宋体" w:cs="宋体"/>
        </w:rPr>
        <w:br w:type="textWrapping"/>
      </w:r>
      <w:r>
        <w:rPr>
          <w:rFonts w:ascii="宋体" w:hAnsi="宋体" w:cs="宋体"/>
        </w:rPr>
        <w:t>   </w:t>
      </w:r>
      <w:r>
        <w:rPr>
          <w:rFonts w:hint="eastAsia" w:ascii="宋体" w:hAnsi="宋体" w:cs="宋体"/>
        </w:rPr>
        <w:t>有下列情形之一的，视为竞标人相互串通竞标：</w:t>
      </w:r>
      <w:r>
        <w:rPr>
          <w:rFonts w:hint="eastAsia" w:ascii="宋体" w:hAnsi="宋体" w:cs="宋体"/>
        </w:rPr>
        <w:br w:type="textWrapping"/>
      </w:r>
      <w:r>
        <w:rPr>
          <w:rFonts w:ascii="宋体" w:hAnsi="宋体" w:cs="宋体"/>
        </w:rPr>
        <w:t>  </w:t>
      </w:r>
      <w:r>
        <w:rPr>
          <w:rFonts w:hint="eastAsia" w:ascii="宋体" w:hAnsi="宋体" w:cs="宋体"/>
        </w:rPr>
        <w:t>（1）不同竞标人的竞标文件由同一单位或者个人编制；</w:t>
      </w:r>
      <w:r>
        <w:rPr>
          <w:rFonts w:hint="eastAsia" w:ascii="宋体" w:hAnsi="宋体" w:cs="宋体"/>
        </w:rPr>
        <w:br w:type="textWrapping"/>
      </w:r>
      <w:r>
        <w:rPr>
          <w:rFonts w:ascii="宋体" w:hAnsi="宋体" w:cs="宋体"/>
        </w:rPr>
        <w:t>  </w:t>
      </w:r>
      <w:r>
        <w:rPr>
          <w:rFonts w:hint="eastAsia" w:ascii="宋体" w:hAnsi="宋体" w:cs="宋体"/>
        </w:rPr>
        <w:t>（2）不同竞标人委托同一单位或者个人办理竞标事宜；</w:t>
      </w:r>
      <w:r>
        <w:rPr>
          <w:rFonts w:hint="eastAsia" w:ascii="宋体" w:hAnsi="宋体" w:cs="宋体"/>
        </w:rPr>
        <w:br w:type="textWrapping"/>
      </w:r>
      <w:r>
        <w:rPr>
          <w:rFonts w:ascii="宋体" w:hAnsi="宋体" w:cs="宋体"/>
        </w:rPr>
        <w:t>  </w:t>
      </w:r>
      <w:r>
        <w:rPr>
          <w:rFonts w:hint="eastAsia" w:ascii="宋体" w:hAnsi="宋体" w:cs="宋体"/>
        </w:rPr>
        <w:t>（3）不同竞标人的竞标文件载明的项目管理成员为同一人；</w:t>
      </w:r>
      <w:r>
        <w:rPr>
          <w:rFonts w:hint="eastAsia" w:ascii="宋体" w:hAnsi="宋体" w:cs="宋体"/>
        </w:rPr>
        <w:br w:type="textWrapping"/>
      </w:r>
      <w:r>
        <w:rPr>
          <w:rFonts w:ascii="宋体" w:hAnsi="宋体" w:cs="宋体"/>
        </w:rPr>
        <w:t>  </w:t>
      </w:r>
      <w:r>
        <w:rPr>
          <w:rFonts w:hint="eastAsia" w:ascii="宋体" w:hAnsi="宋体" w:cs="宋体"/>
        </w:rPr>
        <w:t>（4）不同竞标人的竞标文件异常一致或者竞标报价呈规律性差异；</w:t>
      </w:r>
      <w:r>
        <w:rPr>
          <w:rFonts w:hint="eastAsia" w:ascii="宋体" w:hAnsi="宋体" w:cs="宋体"/>
        </w:rPr>
        <w:br w:type="textWrapping"/>
      </w:r>
      <w:r>
        <w:rPr>
          <w:rFonts w:ascii="宋体" w:hAnsi="宋体" w:cs="宋体"/>
        </w:rPr>
        <w:t>  </w:t>
      </w:r>
      <w:r>
        <w:rPr>
          <w:rFonts w:hint="eastAsia" w:ascii="宋体" w:hAnsi="宋体" w:cs="宋体"/>
        </w:rPr>
        <w:t>（5）不同竞标人的竞标文件相互混装；</w:t>
      </w:r>
      <w:r>
        <w:rPr>
          <w:rFonts w:hint="eastAsia" w:ascii="宋体" w:hAnsi="宋体" w:cs="宋体"/>
        </w:rPr>
        <w:br w:type="textWrapping"/>
      </w:r>
      <w:r>
        <w:rPr>
          <w:rFonts w:ascii="宋体" w:hAnsi="宋体" w:cs="宋体"/>
        </w:rPr>
        <w:t>  </w:t>
      </w:r>
      <w:r>
        <w:rPr>
          <w:rFonts w:hint="eastAsia" w:ascii="宋体" w:hAnsi="宋体" w:cs="宋体"/>
        </w:rPr>
        <w:t>（6）不同竞标人的竞标保证金从同一单位或者个人的账户转出。</w:t>
      </w:r>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rPr>
        <w:t>使用通过受让或者租借等方式获取的资格、资质证书竞标的，属于以他人名义竞标。</w:t>
      </w:r>
      <w:r>
        <w:rPr>
          <w:rFonts w:hint="eastAsia" w:ascii="宋体" w:hAnsi="宋体" w:cs="宋体"/>
        </w:rPr>
        <w:br w:type="textWrapping"/>
      </w:r>
      <w:r>
        <w:rPr>
          <w:rFonts w:ascii="宋体" w:hAnsi="宋体" w:cs="宋体"/>
        </w:rPr>
        <w:t>  </w:t>
      </w:r>
      <w:r>
        <w:rPr>
          <w:rFonts w:hint="eastAsia" w:ascii="宋体" w:hAnsi="宋体" w:cs="宋体"/>
        </w:rPr>
        <w:t>竞标人有下列情形之一的，属于以其他方式弄虚作假的行为：</w:t>
      </w:r>
      <w:r>
        <w:rPr>
          <w:rFonts w:hint="eastAsia" w:ascii="宋体" w:hAnsi="宋体" w:cs="宋体"/>
        </w:rPr>
        <w:br w:type="textWrapping"/>
      </w:r>
      <w:r>
        <w:rPr>
          <w:rFonts w:ascii="宋体" w:hAnsi="宋体" w:cs="宋体"/>
        </w:rPr>
        <w:t>  </w:t>
      </w:r>
      <w:r>
        <w:rPr>
          <w:rFonts w:hint="eastAsia" w:ascii="宋体" w:hAnsi="宋体" w:cs="宋体"/>
        </w:rPr>
        <w:t>（一）使用伪造、变造的许可证件；</w:t>
      </w:r>
      <w:r>
        <w:rPr>
          <w:rFonts w:hint="eastAsia" w:ascii="宋体" w:hAnsi="宋体" w:cs="宋体"/>
        </w:rPr>
        <w:br w:type="textWrapping"/>
      </w:r>
      <w:r>
        <w:rPr>
          <w:rFonts w:ascii="宋体" w:hAnsi="宋体" w:cs="宋体"/>
        </w:rPr>
        <w:t>  </w:t>
      </w:r>
      <w:r>
        <w:rPr>
          <w:rFonts w:hint="eastAsia" w:ascii="宋体" w:hAnsi="宋体" w:cs="宋体"/>
        </w:rPr>
        <w:t>（二）提供虚假的财务状况或者业绩；</w:t>
      </w:r>
      <w:r>
        <w:rPr>
          <w:rFonts w:hint="eastAsia" w:ascii="宋体" w:hAnsi="宋体" w:cs="宋体"/>
        </w:rPr>
        <w:br w:type="textWrapping"/>
      </w:r>
      <w:r>
        <w:rPr>
          <w:rFonts w:ascii="宋体" w:hAnsi="宋体" w:cs="宋体"/>
        </w:rPr>
        <w:t>  </w:t>
      </w:r>
      <w:r>
        <w:rPr>
          <w:rFonts w:hint="eastAsia" w:ascii="宋体" w:hAnsi="宋体" w:cs="宋体"/>
        </w:rPr>
        <w:t>（三）提供虚假的项目负责人或者主要技术人员简历、劳动关系证明；</w:t>
      </w:r>
      <w:r>
        <w:rPr>
          <w:rFonts w:hint="eastAsia" w:ascii="宋体" w:hAnsi="宋体" w:cs="宋体"/>
        </w:rPr>
        <w:br w:type="textWrapping"/>
      </w:r>
      <w:r>
        <w:rPr>
          <w:rFonts w:ascii="宋体" w:hAnsi="宋体" w:cs="宋体"/>
        </w:rPr>
        <w:t>  </w:t>
      </w:r>
      <w:r>
        <w:rPr>
          <w:rFonts w:hint="eastAsia" w:ascii="宋体" w:hAnsi="宋体" w:cs="宋体"/>
        </w:rPr>
        <w:t>（四）提供虚假的信用状况；</w:t>
      </w:r>
      <w:r>
        <w:rPr>
          <w:rFonts w:hint="eastAsia" w:ascii="宋体" w:hAnsi="宋体" w:cs="宋体"/>
        </w:rPr>
        <w:br w:type="textWrapping"/>
      </w:r>
      <w:r>
        <w:rPr>
          <w:rFonts w:hint="eastAsia" w:ascii="宋体" w:hAnsi="宋体" w:cs="宋体"/>
        </w:rPr>
        <w:t xml:space="preserve">    （五）其他弄虚作假的行为。</w:t>
      </w:r>
    </w:p>
    <w:p>
      <w:pPr>
        <w:widowControl/>
        <w:snapToGrid w:val="0"/>
        <w:spacing w:line="400" w:lineRule="exact"/>
        <w:jc w:val="left"/>
        <w:outlineLvl w:val="2"/>
        <w:rPr>
          <w:rFonts w:ascii="宋体" w:hAnsi="宋体" w:cs="宋体"/>
          <w:b/>
          <w:bCs/>
          <w:snapToGrid w:val="0"/>
          <w:kern w:val="0"/>
          <w:szCs w:val="21"/>
        </w:rPr>
      </w:pPr>
      <w:bookmarkStart w:id="227" w:name="_Toc5724"/>
      <w:bookmarkStart w:id="228" w:name="_Toc200513175"/>
      <w:bookmarkStart w:id="229" w:name="_Toc54249487"/>
      <w:bookmarkStart w:id="230" w:name="_Toc291847064"/>
      <w:r>
        <w:rPr>
          <w:rFonts w:hint="eastAsia" w:ascii="宋体" w:hAnsi="宋体" w:cs="宋体"/>
          <w:b/>
          <w:bCs/>
          <w:snapToGrid w:val="0"/>
          <w:kern w:val="0"/>
          <w:szCs w:val="21"/>
        </w:rPr>
        <w:t>9.3  对评标委员会成员的纪律要求</w:t>
      </w:r>
      <w:bookmarkEnd w:id="227"/>
      <w:bookmarkEnd w:id="228"/>
      <w:bookmarkEnd w:id="229"/>
      <w:bookmarkEnd w:id="230"/>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评标委员会成员不得收受他人的财物或者其他好处，不得向他人透漏对竞标文件的评审和比较、中标候选人的推荐情况以及评标有关的其他情况。在评标活动中，评标委员会成员不得擅离职守，影响评标程序正常进行，不得使用第三章“评标办法”没有规定的评审因素和标准进行评标。</w:t>
      </w:r>
    </w:p>
    <w:p>
      <w:pPr>
        <w:widowControl/>
        <w:snapToGrid w:val="0"/>
        <w:spacing w:line="400" w:lineRule="exact"/>
        <w:jc w:val="left"/>
        <w:outlineLvl w:val="2"/>
        <w:rPr>
          <w:rFonts w:ascii="宋体" w:hAnsi="宋体" w:cs="宋体"/>
          <w:b/>
          <w:bCs/>
          <w:snapToGrid w:val="0"/>
          <w:kern w:val="0"/>
          <w:szCs w:val="21"/>
        </w:rPr>
      </w:pPr>
      <w:bookmarkStart w:id="231" w:name="_Toc54249488"/>
      <w:bookmarkStart w:id="232" w:name="_Toc291847065"/>
      <w:bookmarkStart w:id="233" w:name="_Toc29180"/>
      <w:bookmarkStart w:id="234" w:name="_Toc200513176"/>
      <w:r>
        <w:rPr>
          <w:rFonts w:hint="eastAsia" w:ascii="宋体" w:hAnsi="宋体" w:cs="宋体"/>
          <w:b/>
          <w:bCs/>
          <w:snapToGrid w:val="0"/>
          <w:kern w:val="0"/>
          <w:szCs w:val="21"/>
        </w:rPr>
        <w:t>9.4  对与评标活动有关的工作人员的纪律要求</w:t>
      </w:r>
      <w:bookmarkEnd w:id="231"/>
      <w:bookmarkEnd w:id="232"/>
      <w:bookmarkEnd w:id="233"/>
      <w:bookmarkEnd w:id="234"/>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与评标活动有关的工作人员不得收受他人的财物或者其他好处，不得向他人透漏对竞标文件的评审和比较、中标候选人的推荐情况以及评标有关的其他情况。在评标活动中，与评标活动有关的工作人员不得擅离职守，影响评标程序正常进行。</w:t>
      </w:r>
    </w:p>
    <w:p>
      <w:pPr>
        <w:widowControl/>
        <w:snapToGrid w:val="0"/>
        <w:spacing w:line="400" w:lineRule="exact"/>
        <w:jc w:val="left"/>
        <w:outlineLvl w:val="2"/>
        <w:rPr>
          <w:rFonts w:ascii="宋体" w:hAnsi="宋体" w:cs="宋体"/>
          <w:b/>
          <w:bCs/>
          <w:snapToGrid w:val="0"/>
          <w:kern w:val="0"/>
          <w:szCs w:val="21"/>
        </w:rPr>
      </w:pPr>
      <w:bookmarkStart w:id="235" w:name="_Toc200513177"/>
      <w:bookmarkStart w:id="236" w:name="_Toc291847066"/>
      <w:bookmarkStart w:id="237" w:name="_Toc14294"/>
      <w:bookmarkStart w:id="238" w:name="_Toc54249489"/>
      <w:r>
        <w:rPr>
          <w:rFonts w:hint="eastAsia" w:ascii="宋体" w:hAnsi="宋体" w:cs="宋体"/>
          <w:b/>
          <w:bCs/>
          <w:snapToGrid w:val="0"/>
          <w:kern w:val="0"/>
          <w:szCs w:val="21"/>
        </w:rPr>
        <w:t>9.5  投诉</w:t>
      </w:r>
      <w:bookmarkEnd w:id="235"/>
      <w:bookmarkEnd w:id="236"/>
      <w:bookmarkEnd w:id="237"/>
      <w:bookmarkEnd w:id="238"/>
    </w:p>
    <w:p>
      <w:pPr>
        <w:autoSpaceDE w:val="0"/>
        <w:autoSpaceDN w:val="0"/>
        <w:adjustRightInd w:val="0"/>
        <w:snapToGrid w:val="0"/>
        <w:spacing w:line="400" w:lineRule="exact"/>
        <w:ind w:firstLine="420"/>
        <w:rPr>
          <w:rFonts w:ascii="宋体" w:hAnsi="宋体" w:cs="宋体"/>
          <w:snapToGrid w:val="0"/>
          <w:kern w:val="0"/>
          <w:szCs w:val="21"/>
        </w:rPr>
      </w:pPr>
      <w:r>
        <w:rPr>
          <w:rFonts w:hint="eastAsia" w:ascii="宋体" w:hAnsi="宋体" w:cs="宋体"/>
          <w:snapToGrid w:val="0"/>
          <w:kern w:val="0"/>
          <w:szCs w:val="21"/>
        </w:rPr>
        <w:t>竞标人或其他利害关系人认为比选文件内容违法或不当的,应当在竞标文件截止时间前提出异议或投诉;认为开标活动违法或不当的,应当在开标现场向比选人提出异议,比选人应立即答复;认为评标结果不公正的,应当在中标候选人公示期间先向比选人提出异议,比选人应在公示期结束后二日内答复。竞标人或其他利害关系人对比选人的答复不满意，或比选人未答复的，可向有关行政部门投诉。</w:t>
      </w:r>
      <w:bookmarkStart w:id="239" w:name="_Toc291847067"/>
      <w:bookmarkStart w:id="240" w:name="_Toc200513178"/>
      <w:bookmarkStart w:id="241" w:name="_Toc20105"/>
    </w:p>
    <w:p>
      <w:pPr>
        <w:widowControl/>
        <w:snapToGrid w:val="0"/>
        <w:spacing w:line="400" w:lineRule="exact"/>
        <w:jc w:val="left"/>
        <w:outlineLvl w:val="2"/>
        <w:rPr>
          <w:rFonts w:ascii="宋体" w:hAnsi="宋体" w:cs="宋体"/>
          <w:b/>
          <w:bCs/>
          <w:snapToGrid w:val="0"/>
          <w:kern w:val="0"/>
          <w:szCs w:val="21"/>
        </w:rPr>
      </w:pPr>
      <w:bookmarkStart w:id="242" w:name="_Toc54249490"/>
      <w:r>
        <w:rPr>
          <w:rFonts w:hint="eastAsia" w:ascii="宋体" w:hAnsi="宋体" w:cs="宋体"/>
          <w:b/>
          <w:bCs/>
          <w:snapToGrid w:val="0"/>
          <w:kern w:val="0"/>
          <w:szCs w:val="21"/>
        </w:rPr>
        <w:t>10. 需要补充的其他内容</w:t>
      </w:r>
      <w:bookmarkEnd w:id="239"/>
      <w:bookmarkEnd w:id="240"/>
      <w:bookmarkEnd w:id="241"/>
      <w:bookmarkEnd w:id="242"/>
    </w:p>
    <w:p>
      <w:pPr>
        <w:spacing w:line="400" w:lineRule="exact"/>
        <w:ind w:firstLine="420" w:firstLineChars="200"/>
        <w:rPr>
          <w:rFonts w:ascii="宋体" w:hAnsi="宋体"/>
        </w:rPr>
      </w:pPr>
      <w:r>
        <w:rPr>
          <w:rFonts w:hint="eastAsia" w:ascii="宋体" w:hAnsi="宋体" w:cs="宋体"/>
          <w:snapToGrid w:val="0"/>
          <w:kern w:val="0"/>
          <w:szCs w:val="21"/>
        </w:rPr>
        <w:t>需要补充的其他内容：见竞标人须知前附表。</w:t>
      </w:r>
    </w:p>
    <w:p>
      <w:pPr>
        <w:rPr>
          <w:rFonts w:ascii="宋体" w:hAnsi="宋体"/>
        </w:rPr>
      </w:pPr>
      <w:r>
        <w:rPr>
          <w:rFonts w:ascii="宋体" w:hAnsi="宋体"/>
        </w:rPr>
        <w:br w:type="page"/>
      </w:r>
      <w:bookmarkStart w:id="243" w:name="F6102ACA19974746A180FCBC8DA401C4"/>
      <w:bookmarkStart w:id="244" w:name="_Toc287607854"/>
    </w:p>
    <w:p>
      <w:pPr>
        <w:pStyle w:val="4"/>
        <w:spacing w:before="0" w:after="0" w:line="600" w:lineRule="exact"/>
        <w:jc w:val="center"/>
        <w:rPr>
          <w:rFonts w:ascii="宋体" w:hAnsi="宋体"/>
          <w:sz w:val="30"/>
          <w:szCs w:val="30"/>
        </w:rPr>
      </w:pPr>
      <w:bookmarkStart w:id="245" w:name="BigMark"/>
      <w:r>
        <w:rPr>
          <w:rFonts w:ascii="宋体" w:hAnsi="宋体"/>
          <w:sz w:val="30"/>
          <w:szCs w:val="30"/>
        </w:rPr>
        <w:t xml:space="preserve"> </w:t>
      </w:r>
      <w:bookmarkStart w:id="246" w:name="_Toc54249491"/>
      <w:bookmarkStart w:id="247" w:name="_Toc488005252"/>
      <w:r>
        <w:rPr>
          <w:rFonts w:hint="eastAsia" w:ascii="宋体" w:hAnsi="宋体"/>
          <w:sz w:val="30"/>
          <w:szCs w:val="30"/>
        </w:rPr>
        <w:t>第三章</w:t>
      </w:r>
      <w:r>
        <w:rPr>
          <w:rFonts w:ascii="宋体" w:hAnsi="宋体"/>
          <w:sz w:val="30"/>
          <w:szCs w:val="30"/>
        </w:rPr>
        <w:t xml:space="preserve"> </w:t>
      </w:r>
      <w:r>
        <w:rPr>
          <w:rFonts w:hint="eastAsia" w:ascii="宋体" w:hAnsi="宋体"/>
          <w:sz w:val="30"/>
          <w:szCs w:val="30"/>
        </w:rPr>
        <w:t>评标办法</w:t>
      </w:r>
      <w:r>
        <w:rPr>
          <w:rFonts w:ascii="宋体" w:hAnsi="宋体"/>
          <w:sz w:val="30"/>
          <w:szCs w:val="30"/>
        </w:rPr>
        <w:t>(</w:t>
      </w:r>
      <w:r>
        <w:rPr>
          <w:rFonts w:hint="eastAsia" w:ascii="宋体" w:hAnsi="宋体"/>
          <w:kern w:val="0"/>
          <w:sz w:val="30"/>
          <w:szCs w:val="30"/>
        </w:rPr>
        <w:t>经评审的最低价竞标法</w:t>
      </w:r>
      <w:r>
        <w:rPr>
          <w:rFonts w:ascii="宋体" w:hAnsi="宋体"/>
          <w:sz w:val="30"/>
          <w:szCs w:val="30"/>
        </w:rPr>
        <w:t>)</w:t>
      </w:r>
      <w:bookmarkEnd w:id="246"/>
      <w:bookmarkEnd w:id="247"/>
    </w:p>
    <w:p>
      <w:pPr>
        <w:pStyle w:val="5"/>
        <w:spacing w:line="600" w:lineRule="exact"/>
        <w:ind w:left="578"/>
        <w:rPr>
          <w:rFonts w:ascii="宋体" w:eastAsia="宋体"/>
        </w:rPr>
      </w:pPr>
      <w:bookmarkStart w:id="248" w:name="_Toc54249492"/>
      <w:bookmarkStart w:id="249" w:name="_Toc488005253"/>
      <w:bookmarkStart w:id="250" w:name="_Toc224103383"/>
      <w:bookmarkStart w:id="251" w:name="_Toc277082617"/>
      <w:bookmarkStart w:id="252" w:name="_Toc287607811"/>
      <w:bookmarkStart w:id="253" w:name="_Toc287620750"/>
      <w:r>
        <w:rPr>
          <w:rFonts w:hint="eastAsia" w:ascii="宋体" w:eastAsia="宋体"/>
        </w:rPr>
        <w:t>评标办法前附表</w:t>
      </w:r>
      <w:bookmarkEnd w:id="248"/>
      <w:bookmarkEnd w:id="249"/>
    </w:p>
    <w:bookmarkEnd w:id="250"/>
    <w:bookmarkEnd w:id="251"/>
    <w:bookmarkEnd w:id="252"/>
    <w:bookmarkEnd w:id="253"/>
    <w:p>
      <w:pPr>
        <w:rPr>
          <w:rFonts w:ascii="宋体" w:hAnsi="宋体"/>
        </w:rPr>
      </w:pPr>
      <w:bookmarkStart w:id="254" w:name="CQZH1_07"/>
      <w:r>
        <w:rPr>
          <w:rFonts w:ascii="宋体" w:hAnsi="宋体"/>
        </w:rPr>
        <w:t xml:space="preserve"> </w:t>
      </w:r>
    </w:p>
    <w:tbl>
      <w:tblPr>
        <w:tblStyle w:val="4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17"/>
        <w:gridCol w:w="2284"/>
        <w:gridCol w:w="416"/>
        <w:gridCol w:w="4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bookmarkStart w:id="255" w:name="CQZH1_FIRST_01"/>
            <w:r>
              <w:rPr>
                <w:rFonts w:hint="eastAsia" w:ascii="宋体" w:hAnsi="宋体" w:cs="宋体"/>
                <w:b/>
                <w:kern w:val="0"/>
              </w:rPr>
              <w:t>条款号</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宋体"/>
                <w:b/>
                <w:kern w:val="0"/>
              </w:rPr>
              <w:t>评审因素</w:t>
            </w:r>
          </w:p>
        </w:tc>
        <w:tc>
          <w:tcPr>
            <w:tcW w:w="44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宋体"/>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评标办法</w:t>
            </w:r>
          </w:p>
        </w:tc>
        <w:tc>
          <w:tcPr>
            <w:tcW w:w="7104" w:type="dxa"/>
            <w:gridSpan w:val="3"/>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kern w:val="0"/>
                <w:szCs w:val="21"/>
              </w:rPr>
              <w:t>本次评选采用经评审的最低竞标价法，评选委员会按照本章第2.1款进行报价排序，按照本章第2.2款进行符合性审查，符合性审查合格的竞标</w:t>
            </w:r>
            <w:r>
              <w:rPr>
                <w:rFonts w:hint="eastAsia" w:ascii="宋体" w:hAnsi="宋体"/>
                <w:szCs w:val="21"/>
              </w:rPr>
              <w:t>人</w:t>
            </w:r>
            <w:r>
              <w:rPr>
                <w:rFonts w:hint="eastAsia" w:ascii="宋体" w:hAnsi="宋体"/>
                <w:kern w:val="0"/>
                <w:szCs w:val="21"/>
              </w:rPr>
              <w:t>中按报价由低到高推荐中标候选人。若出现竞标人竞标报价相同的，由评选委员会在报价相同的竞标</w:t>
            </w:r>
            <w:r>
              <w:rPr>
                <w:rFonts w:hint="eastAsia" w:ascii="宋体" w:hAnsi="宋体"/>
                <w:szCs w:val="21"/>
              </w:rPr>
              <w:t>人</w:t>
            </w:r>
            <w:r>
              <w:rPr>
                <w:rFonts w:hint="eastAsia" w:ascii="宋体" w:hAnsi="宋体"/>
                <w:kern w:val="0"/>
                <w:szCs w:val="21"/>
              </w:rPr>
              <w:t>中按照随机抽取的方式排序。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kern w:val="0"/>
              </w:rPr>
              <w:t>2.1</w:t>
            </w:r>
          </w:p>
        </w:tc>
        <w:tc>
          <w:tcPr>
            <w:tcW w:w="28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hAnsi="宋体" w:cs="宋体"/>
                <w:kern w:val="0"/>
              </w:rPr>
              <w:t>报价</w:t>
            </w:r>
            <w:r>
              <w:rPr>
                <w:rFonts w:hint="eastAsia" w:ascii="宋体" w:hAnsi="宋体" w:cs="宋体"/>
                <w:kern w:val="0"/>
              </w:rPr>
              <w:t>排序</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kern w:val="0"/>
                <w:szCs w:val="21"/>
              </w:rPr>
            </w:pPr>
            <w:r>
              <w:rPr>
                <w:rFonts w:hint="eastAsia" w:ascii="宋体" w:hAnsi="宋体"/>
                <w:kern w:val="0"/>
                <w:szCs w:val="21"/>
              </w:rPr>
              <w:t>1.对报价不高于或等于最高限价，且</w:t>
            </w:r>
            <w:r>
              <w:rPr>
                <w:rFonts w:hint="eastAsia" w:ascii="宋体" w:hAnsi="宋体"/>
                <w:spacing w:val="4"/>
                <w:kern w:val="0"/>
                <w:szCs w:val="21"/>
              </w:rPr>
              <w:t>符合性审查</w:t>
            </w:r>
            <w:r>
              <w:rPr>
                <w:rFonts w:hint="eastAsia" w:ascii="宋体" w:hAnsi="宋体"/>
                <w:kern w:val="0"/>
                <w:szCs w:val="21"/>
              </w:rPr>
              <w:t>合格的竞标</w:t>
            </w:r>
            <w:r>
              <w:rPr>
                <w:rFonts w:hint="eastAsia" w:ascii="宋体" w:hAnsi="宋体"/>
                <w:szCs w:val="21"/>
              </w:rPr>
              <w:t>人</w:t>
            </w:r>
            <w:r>
              <w:rPr>
                <w:rFonts w:hint="eastAsia" w:ascii="宋体" w:hAnsi="宋体"/>
                <w:kern w:val="0"/>
                <w:szCs w:val="21"/>
              </w:rPr>
              <w:t>的竞标文件，按照报价由低到高的顺序排列。</w:t>
            </w:r>
          </w:p>
          <w:p>
            <w:pPr>
              <w:spacing w:line="400" w:lineRule="exact"/>
              <w:jc w:val="left"/>
            </w:pPr>
            <w:r>
              <w:rPr>
                <w:rFonts w:hint="eastAsia" w:ascii="宋体" w:hAnsi="宋体"/>
                <w:kern w:val="0"/>
                <w:szCs w:val="21"/>
              </w:rPr>
              <w:t>2.投标总报价低于最高限价85%的，竞标人应在编制投标文件时，在投标函部分中递交低价风险担保缴纳承诺书。</w:t>
            </w:r>
            <w:r>
              <w:rPr>
                <w:rFonts w:hint="eastAsia" w:ascii="宋体" w:hAnsi="宋体"/>
                <w:b/>
                <w:kern w:val="0"/>
                <w:szCs w:val="21"/>
              </w:rPr>
              <w:t>承诺书格式详见第八章投标文件格式。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kern w:val="0"/>
              </w:rPr>
              <w:t>2.2</w:t>
            </w:r>
          </w:p>
        </w:tc>
        <w:tc>
          <w:tcPr>
            <w:tcW w:w="28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kern w:val="0"/>
              </w:rPr>
              <w:t>符合性审查</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kern w:val="0"/>
                <w:szCs w:val="21"/>
              </w:rPr>
            </w:pPr>
            <w:r>
              <w:rPr>
                <w:rFonts w:hint="eastAsia" w:ascii="宋体" w:hAnsi="宋体"/>
                <w:kern w:val="0"/>
                <w:szCs w:val="21"/>
              </w:rPr>
              <w:t>对所有有效竞标</w:t>
            </w:r>
            <w:r>
              <w:rPr>
                <w:rFonts w:hint="eastAsia" w:ascii="宋体" w:hAnsi="宋体"/>
                <w:szCs w:val="21"/>
              </w:rPr>
              <w:t>人</w:t>
            </w:r>
            <w:r>
              <w:rPr>
                <w:rFonts w:hint="eastAsia" w:ascii="宋体" w:hAnsi="宋体"/>
                <w:kern w:val="0"/>
                <w:szCs w:val="21"/>
              </w:rPr>
              <w:t>的竞标文件</w:t>
            </w:r>
            <w:r>
              <w:rPr>
                <w:rFonts w:hint="eastAsia" w:ascii="宋体" w:hAnsi="宋体"/>
                <w:spacing w:val="4"/>
                <w:kern w:val="0"/>
                <w:szCs w:val="21"/>
              </w:rPr>
              <w:t>进行符合性审查。</w:t>
            </w:r>
            <w:r>
              <w:rPr>
                <w:rFonts w:hint="eastAsia" w:ascii="宋体" w:hAnsi="宋体"/>
                <w:kern w:val="0"/>
                <w:szCs w:val="21"/>
              </w:rPr>
              <w:t>符合性审查中有任何一项不符合要求，符合性审查不合格，由评选委员会作否决竞标处理。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2.</w:t>
            </w:r>
            <w:r>
              <w:rPr>
                <w:rFonts w:hint="eastAsia" w:ascii="宋体" w:hAnsi="宋体"/>
              </w:rPr>
              <w:t>2</w:t>
            </w:r>
            <w:r>
              <w:rPr>
                <w:rFonts w:ascii="宋体" w:hAnsi="宋体"/>
              </w:rPr>
              <w:t>.1</w:t>
            </w:r>
          </w:p>
        </w:tc>
        <w:tc>
          <w:tcPr>
            <w:tcW w:w="5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形式评审</w:t>
            </w: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竞标人名称</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竞标函签字盖章</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法定代表人或其委托代理人签字或盖章、单位公章符合要求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竞标文件格式</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符合第八章“竞标文件格式”的要求，字迹清晰可辨。</w:t>
            </w:r>
          </w:p>
          <w:p>
            <w:pPr>
              <w:ind w:firstLine="281" w:firstLineChars="134"/>
              <w:rPr>
                <w:rFonts w:ascii="宋体" w:hAnsi="宋体"/>
              </w:rPr>
            </w:pPr>
            <w:r>
              <w:rPr>
                <w:rFonts w:ascii="宋体" w:hAnsi="宋体"/>
              </w:rPr>
              <w:t>1.</w:t>
            </w:r>
            <w:r>
              <w:rPr>
                <w:rFonts w:hint="eastAsia" w:ascii="宋体" w:hAnsi="宋体"/>
              </w:rPr>
              <w:t>竞标函附录的所有数据均符合比选文件的规定；</w:t>
            </w:r>
          </w:p>
          <w:p>
            <w:pPr>
              <w:ind w:firstLine="281" w:firstLineChars="134"/>
              <w:rPr>
                <w:rFonts w:ascii="宋体" w:hAnsi="宋体"/>
              </w:rPr>
            </w:pPr>
            <w:r>
              <w:rPr>
                <w:rFonts w:ascii="宋体" w:hAnsi="宋体"/>
              </w:rPr>
              <w:t>2.</w:t>
            </w:r>
            <w:r>
              <w:rPr>
                <w:rFonts w:hint="eastAsia" w:ascii="宋体" w:hAnsi="宋体"/>
              </w:rPr>
              <w:t>竞标文件附表齐全完整，内容均按规定填写；</w:t>
            </w:r>
          </w:p>
          <w:p>
            <w:pPr>
              <w:ind w:firstLine="281" w:firstLineChars="134"/>
              <w:rPr>
                <w:rFonts w:ascii="宋体" w:hAnsi="宋体"/>
              </w:rPr>
            </w:pPr>
            <w:r>
              <w:rPr>
                <w:rFonts w:ascii="宋体" w:hAnsi="宋体"/>
              </w:rPr>
              <w:t>3.</w:t>
            </w:r>
            <w:r>
              <w:rPr>
                <w:rFonts w:hint="eastAsia" w:ascii="宋体" w:hAnsi="宋体"/>
              </w:rPr>
              <w:t>按规定提供了拟投入的主要人员的证件复印件，证件清晰可辨、有效；</w:t>
            </w:r>
            <w:r>
              <w:rPr>
                <w:rFonts w:ascii="宋体" w:hAnsi="宋体"/>
              </w:rPr>
              <w:t xml:space="preserve"> </w:t>
            </w:r>
          </w:p>
          <w:p>
            <w:pPr>
              <w:ind w:firstLine="281" w:firstLineChars="134"/>
              <w:rPr>
                <w:rFonts w:ascii="宋体" w:hAnsi="宋体"/>
              </w:rPr>
            </w:pPr>
            <w:r>
              <w:rPr>
                <w:rFonts w:ascii="宋体" w:hAnsi="宋体"/>
              </w:rPr>
              <w:t>4.</w:t>
            </w:r>
            <w:r>
              <w:rPr>
                <w:rFonts w:hint="eastAsia" w:ascii="宋体" w:hAnsi="宋体"/>
              </w:rPr>
              <w:t>竞标文件的编制符合第二章</w:t>
            </w:r>
            <w:r>
              <w:rPr>
                <w:rFonts w:ascii="宋体" w:hAnsi="宋体"/>
              </w:rPr>
              <w:t>3.7</w:t>
            </w:r>
            <w:r>
              <w:rPr>
                <w:rFonts w:hint="eastAsia" w:ascii="宋体" w:hAnsi="宋体"/>
              </w:rPr>
              <w:t>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报价唯一</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只能有一个有效报价，在比选文件没有规定的情况下，不得提交选择性报价。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竞标文件的签署</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竞标文件上法定代表人或其授权代理人的签字或盖章齐全，符合比选文件规定。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委托代理人</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kern w:val="0"/>
              </w:rPr>
              <w:t>竞</w:t>
            </w:r>
            <w:r>
              <w:rPr>
                <w:kern w:val="0"/>
              </w:rPr>
              <w:t>标人法定代表人的委托代理人有法定代表人签署的授权委托书和养老保险。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2.</w:t>
            </w:r>
            <w:r>
              <w:rPr>
                <w:rFonts w:hint="eastAsia" w:ascii="宋体" w:hAnsi="宋体"/>
              </w:rPr>
              <w:t>2</w:t>
            </w:r>
            <w:r>
              <w:rPr>
                <w:rFonts w:ascii="宋体" w:hAnsi="宋体"/>
              </w:rPr>
              <w:t>.2</w:t>
            </w:r>
          </w:p>
        </w:tc>
        <w:tc>
          <w:tcPr>
            <w:tcW w:w="5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资格评审</w:t>
            </w: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营业执照</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安全生产条件</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具备建设行政主管部门颁发的有效的安全生产许可证，企业主要负责人、拟担任该项目的项目经理和专职安全生产管理人员（即“三类人员”）具备建设行政主管部门颁发相应的安全生产考核合格证书且符合第二章“竞标人须知”第</w:t>
            </w:r>
            <w:r>
              <w:rPr>
                <w:rFonts w:ascii="宋体" w:hAnsi="宋体"/>
              </w:rPr>
              <w:t>1.4.1</w:t>
            </w:r>
            <w:r>
              <w:rPr>
                <w:rFonts w:hint="eastAsia" w:ascii="宋体" w:hAnsi="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资质等级</w:t>
            </w:r>
          </w:p>
        </w:tc>
        <w:tc>
          <w:tcPr>
            <w:tcW w:w="4820" w:type="dxa"/>
            <w:gridSpan w:val="2"/>
            <w:tcBorders>
              <w:top w:val="single" w:color="auto" w:sz="4" w:space="0"/>
              <w:left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符合第二章“竞标人须知”第</w:t>
            </w:r>
            <w:r>
              <w:rPr>
                <w:rFonts w:ascii="宋体" w:hAnsi="宋体"/>
              </w:rPr>
              <w:t>1.4.1</w:t>
            </w:r>
            <w:r>
              <w:rPr>
                <w:rFonts w:hint="eastAsia" w:ascii="宋体" w:hAnsi="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业绩要求</w:t>
            </w:r>
          </w:p>
        </w:tc>
        <w:tc>
          <w:tcPr>
            <w:tcW w:w="4820" w:type="dxa"/>
            <w:gridSpan w:val="2"/>
            <w:tcBorders>
              <w:top w:val="single" w:color="auto" w:sz="4" w:space="0"/>
              <w:left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符合第二章“竞标人须知”第</w:t>
            </w:r>
            <w:r>
              <w:rPr>
                <w:rFonts w:ascii="宋体" w:hAnsi="宋体"/>
              </w:rPr>
              <w:t>1.4.1</w:t>
            </w:r>
            <w:r>
              <w:rPr>
                <w:rFonts w:hint="eastAsia" w:ascii="宋体" w:hAnsi="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投标截止日资格情况</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符合第二章“竞标人须知”第</w:t>
            </w:r>
            <w:r>
              <w:rPr>
                <w:rFonts w:ascii="宋体" w:hAnsi="宋体"/>
              </w:rPr>
              <w:t>1.4.1</w:t>
            </w:r>
            <w:r>
              <w:rPr>
                <w:rFonts w:hint="eastAsia" w:ascii="宋体" w:hAnsi="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项目经理资格</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符合第二章“竞标人须知”第</w:t>
            </w:r>
            <w:r>
              <w:rPr>
                <w:rFonts w:ascii="宋体" w:hAnsi="宋体"/>
              </w:rPr>
              <w:t>1.4.1</w:t>
            </w:r>
            <w:r>
              <w:rPr>
                <w:rFonts w:hint="eastAsia" w:ascii="宋体" w:hAnsi="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其他要求</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符合第二章“竞标人须知”第</w:t>
            </w:r>
            <w:r>
              <w:rPr>
                <w:rFonts w:ascii="宋体" w:hAnsi="宋体"/>
              </w:rPr>
              <w:t>1.4.1</w:t>
            </w:r>
            <w:r>
              <w:rPr>
                <w:rFonts w:hint="eastAsia" w:ascii="宋体" w:hAnsi="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2.</w:t>
            </w:r>
            <w:r>
              <w:rPr>
                <w:rFonts w:hint="eastAsia" w:ascii="宋体" w:hAnsi="宋体"/>
              </w:rPr>
              <w:t>2</w:t>
            </w:r>
            <w:r>
              <w:rPr>
                <w:rFonts w:ascii="宋体" w:hAnsi="宋体"/>
              </w:rPr>
              <w:t>.3</w:t>
            </w:r>
          </w:p>
        </w:tc>
        <w:tc>
          <w:tcPr>
            <w:tcW w:w="5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响应性评审</w:t>
            </w:r>
          </w:p>
        </w:tc>
        <w:tc>
          <w:tcPr>
            <w:tcW w:w="228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竞标总报价</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竞标总报价不得高于比选人公布的最高限价。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竞标内容</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符合第二章“竞标人须知”第</w:t>
            </w:r>
            <w:r>
              <w:rPr>
                <w:rFonts w:ascii="宋体" w:hAnsi="宋体"/>
              </w:rPr>
              <w:t>1.3.1</w:t>
            </w:r>
            <w:r>
              <w:rPr>
                <w:rFonts w:hint="eastAsia" w:ascii="宋体" w:hAnsi="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工期</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符合第二章“竞标人须知”第</w:t>
            </w:r>
            <w:r>
              <w:rPr>
                <w:rFonts w:ascii="宋体" w:hAnsi="宋体"/>
              </w:rPr>
              <w:t>1.3.2</w:t>
            </w:r>
            <w:r>
              <w:rPr>
                <w:rFonts w:hint="eastAsia" w:ascii="宋体" w:hAnsi="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工程质量</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符合第二章“竞标人须知”第</w:t>
            </w:r>
            <w:r>
              <w:rPr>
                <w:rFonts w:ascii="宋体" w:hAnsi="宋体"/>
              </w:rPr>
              <w:t>1.3.3</w:t>
            </w:r>
            <w:r>
              <w:rPr>
                <w:rFonts w:hint="eastAsia" w:ascii="宋体" w:hAnsi="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竞标有效期</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符合第二章“竞标人须知”第</w:t>
            </w:r>
            <w:r>
              <w:rPr>
                <w:rFonts w:ascii="宋体" w:hAnsi="宋体"/>
              </w:rPr>
              <w:t>3.3.1</w:t>
            </w:r>
            <w:r>
              <w:rPr>
                <w:rFonts w:hint="eastAsia" w:ascii="宋体" w:hAnsi="宋体"/>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竞标保证金</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符合第二章“竞标人须知前附表”第</w:t>
            </w:r>
            <w:r>
              <w:rPr>
                <w:rFonts w:ascii="宋体" w:hAnsi="宋体"/>
              </w:rPr>
              <w:t>3.4.1</w:t>
            </w:r>
            <w:r>
              <w:rPr>
                <w:rFonts w:hint="eastAsia" w:ascii="宋体" w:hAnsi="宋体"/>
              </w:rPr>
              <w:t>项规定，并符合下列要求：</w:t>
            </w:r>
          </w:p>
          <w:p>
            <w:pPr>
              <w:ind w:firstLine="281" w:firstLineChars="134"/>
              <w:rPr>
                <w:rFonts w:ascii="宋体" w:hAnsi="宋体"/>
              </w:rPr>
            </w:pPr>
            <w:r>
              <w:rPr>
                <w:rFonts w:ascii="宋体" w:hAnsi="宋体"/>
              </w:rPr>
              <w:t>1</w:t>
            </w:r>
            <w:r>
              <w:rPr>
                <w:rFonts w:hint="eastAsia" w:ascii="宋体" w:hAnsi="宋体"/>
              </w:rPr>
              <w:t>．竞标保证金为无条件担保；</w:t>
            </w:r>
          </w:p>
          <w:p>
            <w:pPr>
              <w:ind w:firstLine="281" w:firstLineChars="134"/>
              <w:rPr>
                <w:rFonts w:ascii="宋体" w:hAnsi="宋体"/>
              </w:rPr>
            </w:pPr>
            <w:r>
              <w:rPr>
                <w:rFonts w:ascii="宋体" w:hAnsi="宋体"/>
              </w:rPr>
              <w:t>2</w:t>
            </w:r>
            <w:r>
              <w:rPr>
                <w:rFonts w:hint="eastAsia" w:ascii="宋体" w:hAnsi="宋体"/>
              </w:rPr>
              <w:t>．竞标保证金的受益人名称与比选人规定的受益人一致；</w:t>
            </w:r>
          </w:p>
          <w:p>
            <w:pPr>
              <w:ind w:firstLine="281" w:firstLineChars="134"/>
              <w:rPr>
                <w:rFonts w:ascii="宋体" w:hAnsi="宋体"/>
              </w:rPr>
            </w:pPr>
            <w:r>
              <w:rPr>
                <w:rFonts w:ascii="宋体" w:hAnsi="宋体"/>
              </w:rPr>
              <w:t>3</w:t>
            </w:r>
            <w:r>
              <w:rPr>
                <w:rFonts w:hint="eastAsia" w:ascii="宋体" w:hAnsi="宋体"/>
              </w:rPr>
              <w:t>．竞标保证金的金额符合比选文件规定的金额；</w:t>
            </w:r>
          </w:p>
          <w:p>
            <w:pPr>
              <w:ind w:firstLine="281" w:firstLineChars="134"/>
              <w:rPr>
                <w:rFonts w:ascii="宋体" w:hAnsi="宋体"/>
              </w:rPr>
            </w:pPr>
            <w:r>
              <w:rPr>
                <w:rFonts w:ascii="宋体" w:hAnsi="宋体"/>
              </w:rPr>
              <w:t>4</w:t>
            </w:r>
            <w:r>
              <w:rPr>
                <w:rFonts w:hint="eastAsia" w:ascii="宋体" w:hAnsi="宋体"/>
              </w:rPr>
              <w:t>．竞标保证金有效期与竞标有效期一致。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权利义务</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符合第四章“合同条款及格式”规定，竞标文件不应附有比选人不能接受的条件。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已标价工程量清单</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符合第五章“工程量清单”给出的范围及数量。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技术标准和要求</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ind w:firstLine="281" w:firstLineChars="134"/>
              <w:rPr>
                <w:rFonts w:ascii="宋体" w:hAnsi="宋体"/>
              </w:rPr>
            </w:pPr>
            <w:r>
              <w:rPr>
                <w:rFonts w:hint="eastAsia" w:ascii="宋体" w:hAnsi="宋体"/>
              </w:rPr>
              <w:t>符合第七章“技术标准和要求”规定，且竞标文件中载明的主要施工技术和方法及质量检验标准符合国家规范、规程和强制性标准。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28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实质性要求</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Lines="10" w:line="400" w:lineRule="exact"/>
              <w:ind w:firstLine="420" w:firstLineChars="200"/>
              <w:rPr>
                <w:rFonts w:ascii="宋体" w:hAnsi="宋体" w:cs="宋体"/>
                <w:kern w:val="0"/>
              </w:rPr>
            </w:pPr>
            <w:r>
              <w:rPr>
                <w:rFonts w:hint="eastAsia" w:ascii="宋体" w:hAnsi="宋体" w:cs="宋体"/>
                <w:kern w:val="0"/>
              </w:rPr>
              <w:t>符合第二章“竞选人须知”第1.4.3项规定。</w:t>
            </w:r>
          </w:p>
          <w:p>
            <w:pPr>
              <w:ind w:firstLine="281" w:firstLineChars="134"/>
              <w:rPr>
                <w:rFonts w:ascii="宋体" w:hAnsi="宋体"/>
              </w:rPr>
            </w:pPr>
            <w:r>
              <w:rPr>
                <w:rFonts w:hint="eastAsia" w:ascii="宋体" w:hAnsi="宋体" w:cs="宋体"/>
                <w:kern w:val="0"/>
              </w:rPr>
              <w:t>不得有涉嫌串通投标、弄虚作假等其他违反招投标相关法律、法规行为。</w:t>
            </w:r>
          </w:p>
        </w:tc>
      </w:tr>
      <w:bookmarkEnd w:id="254"/>
      <w:bookmarkEnd w:id="255"/>
    </w:tbl>
    <w:p>
      <w:pPr>
        <w:rPr>
          <w:rFonts w:ascii="宋体" w:hAnsi="宋体"/>
        </w:rPr>
      </w:pPr>
      <w:bookmarkStart w:id="256" w:name="CQZH1_06"/>
    </w:p>
    <w:tbl>
      <w:tblPr>
        <w:tblStyle w:val="49"/>
        <w:tblW w:w="8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398"/>
        <w:gridCol w:w="6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9" w:hRule="atLeast"/>
        </w:trPr>
        <w:tc>
          <w:tcPr>
            <w:tcW w:w="9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hAnsi="宋体"/>
              </w:rPr>
              <w:t>3</w:t>
            </w:r>
          </w:p>
        </w:tc>
        <w:tc>
          <w:tcPr>
            <w:tcW w:w="13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评选程序</w:t>
            </w:r>
          </w:p>
        </w:tc>
        <w:tc>
          <w:tcPr>
            <w:tcW w:w="61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left"/>
              <w:rPr>
                <w:rFonts w:ascii="宋体" w:hAnsi="宋体"/>
                <w:kern w:val="0"/>
                <w:szCs w:val="21"/>
              </w:rPr>
            </w:pPr>
            <w:r>
              <w:rPr>
                <w:rFonts w:hint="eastAsia" w:ascii="宋体" w:hAnsi="宋体"/>
                <w:kern w:val="0"/>
                <w:szCs w:val="21"/>
              </w:rPr>
              <w:t>1. 对报价不高于最高限价的所有</w:t>
            </w:r>
            <w:r>
              <w:rPr>
                <w:rFonts w:hint="eastAsia" w:ascii="宋体" w:hAnsi="宋体"/>
                <w:szCs w:val="21"/>
              </w:rPr>
              <w:t>竞标人</w:t>
            </w:r>
            <w:r>
              <w:rPr>
                <w:rFonts w:hint="eastAsia" w:ascii="宋体" w:hAnsi="宋体"/>
                <w:kern w:val="0"/>
                <w:szCs w:val="21"/>
              </w:rPr>
              <w:t>的</w:t>
            </w:r>
            <w:r>
              <w:rPr>
                <w:rFonts w:hint="eastAsia" w:ascii="宋体" w:hAnsi="宋体"/>
                <w:szCs w:val="21"/>
              </w:rPr>
              <w:t>竞标文件</w:t>
            </w:r>
            <w:r>
              <w:rPr>
                <w:rFonts w:hint="eastAsia" w:ascii="宋体" w:hAnsi="宋体"/>
                <w:kern w:val="0"/>
                <w:szCs w:val="21"/>
              </w:rPr>
              <w:t>，按照竞标报价由低到高的顺序排序。</w:t>
            </w:r>
          </w:p>
          <w:p>
            <w:pPr>
              <w:spacing w:line="400" w:lineRule="exact"/>
              <w:ind w:firstLine="420" w:firstLineChars="200"/>
              <w:jc w:val="left"/>
              <w:rPr>
                <w:rFonts w:ascii="宋体" w:hAnsi="宋体"/>
                <w:kern w:val="0"/>
                <w:szCs w:val="21"/>
              </w:rPr>
            </w:pPr>
            <w:r>
              <w:rPr>
                <w:rFonts w:hint="eastAsia" w:ascii="宋体" w:hAnsi="宋体"/>
                <w:kern w:val="0"/>
                <w:szCs w:val="21"/>
              </w:rPr>
              <w:t>2</w:t>
            </w:r>
            <w:r>
              <w:rPr>
                <w:rFonts w:ascii="宋体" w:hAnsi="宋体"/>
                <w:kern w:val="0"/>
                <w:szCs w:val="21"/>
              </w:rPr>
              <w:t>.</w:t>
            </w:r>
            <w:r>
              <w:rPr>
                <w:rFonts w:hint="eastAsia" w:ascii="宋体" w:hAnsi="宋体"/>
                <w:kern w:val="0"/>
                <w:szCs w:val="21"/>
              </w:rPr>
              <w:t xml:space="preserve"> 对所有竞标人的竞标文件</w:t>
            </w:r>
            <w:r>
              <w:rPr>
                <w:rFonts w:hint="eastAsia" w:ascii="宋体" w:hAnsi="宋体"/>
                <w:spacing w:val="4"/>
                <w:kern w:val="0"/>
                <w:szCs w:val="21"/>
              </w:rPr>
              <w:t>进行符合性审查。符合性审查内容：形式评选、资格评选、响应性评选。符合性审查</w:t>
            </w:r>
            <w:r>
              <w:rPr>
                <w:rFonts w:hint="eastAsia" w:ascii="宋体" w:hAnsi="宋体"/>
                <w:kern w:val="0"/>
                <w:szCs w:val="21"/>
              </w:rPr>
              <w:t>合格的竞标人中，报价最低的成为第一中标候选人，报价次低的成为第二中标候选人，依次类推。</w:t>
            </w:r>
          </w:p>
          <w:p>
            <w:pPr>
              <w:spacing w:line="400" w:lineRule="exact"/>
              <w:ind w:firstLine="420" w:firstLineChars="200"/>
              <w:jc w:val="left"/>
              <w:rPr>
                <w:rFonts w:ascii="宋体" w:hAnsi="宋体"/>
                <w:kern w:val="0"/>
                <w:szCs w:val="21"/>
              </w:rPr>
            </w:pPr>
            <w:r>
              <w:rPr>
                <w:rFonts w:ascii="宋体" w:hAnsi="宋体"/>
                <w:kern w:val="0"/>
                <w:szCs w:val="21"/>
              </w:rPr>
              <w:t>3.</w:t>
            </w:r>
            <w:r>
              <w:rPr>
                <w:rFonts w:hint="eastAsia" w:ascii="宋体" w:hAnsi="宋体"/>
                <w:kern w:val="0"/>
                <w:szCs w:val="21"/>
              </w:rPr>
              <w:t>因评选委员会作否决竞标处理，导致有效</w:t>
            </w:r>
            <w:r>
              <w:rPr>
                <w:rFonts w:hint="eastAsia" w:ascii="宋体" w:hAnsi="宋体"/>
                <w:szCs w:val="21"/>
              </w:rPr>
              <w:t>竞标人</w:t>
            </w:r>
            <w:r>
              <w:rPr>
                <w:rFonts w:hint="eastAsia" w:ascii="宋体" w:hAnsi="宋体"/>
                <w:kern w:val="0"/>
                <w:szCs w:val="21"/>
              </w:rPr>
              <w:t>不足三个的，评选委员会应当否决所有竞标。但是有效</w:t>
            </w:r>
            <w:r>
              <w:rPr>
                <w:rFonts w:hint="eastAsia" w:ascii="宋体" w:hAnsi="宋体"/>
                <w:szCs w:val="21"/>
              </w:rPr>
              <w:t>竞标人</w:t>
            </w:r>
            <w:r>
              <w:rPr>
                <w:rFonts w:hint="eastAsia" w:ascii="宋体" w:hAnsi="宋体"/>
                <w:kern w:val="0"/>
                <w:szCs w:val="21"/>
              </w:rPr>
              <w:t>的经济、技术等指标仍然具有市场竞争力，并满足比选文件要求的，评选委员会可以继续评选并确定中标候选人。</w:t>
            </w:r>
          </w:p>
          <w:p>
            <w:pPr>
              <w:spacing w:line="400" w:lineRule="exact"/>
              <w:ind w:firstLine="420" w:firstLineChars="200"/>
              <w:jc w:val="left"/>
              <w:rPr>
                <w:rFonts w:ascii="宋体" w:hAnsi="宋体"/>
                <w:kern w:val="0"/>
                <w:szCs w:val="21"/>
              </w:rPr>
            </w:pPr>
            <w:r>
              <w:rPr>
                <w:rFonts w:hint="eastAsia" w:ascii="宋体" w:hAnsi="宋体"/>
                <w:kern w:val="0"/>
                <w:szCs w:val="21"/>
              </w:rPr>
              <w:t>注：若出现</w:t>
            </w:r>
            <w:r>
              <w:rPr>
                <w:rFonts w:hint="eastAsia" w:ascii="宋体" w:hAnsi="宋体"/>
                <w:szCs w:val="21"/>
              </w:rPr>
              <w:t>竞标人的</w:t>
            </w:r>
            <w:r>
              <w:rPr>
                <w:rFonts w:hint="eastAsia" w:ascii="宋体" w:hAnsi="宋体"/>
                <w:kern w:val="0"/>
                <w:szCs w:val="21"/>
              </w:rPr>
              <w:t>竞标报价相同的，由评选委员会在报价相同的竞标人中按照随机抽取的方式排序。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9" w:hRule="atLeast"/>
        </w:trPr>
        <w:tc>
          <w:tcPr>
            <w:tcW w:w="9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hAnsi="宋体"/>
              </w:rPr>
              <w:t>评选结果</w:t>
            </w:r>
          </w:p>
        </w:tc>
        <w:tc>
          <w:tcPr>
            <w:tcW w:w="61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hint="eastAsia" w:ascii="宋体" w:hAnsi="宋体"/>
                <w:kern w:val="0"/>
                <w:szCs w:val="21"/>
              </w:rPr>
              <w:t xml:space="preserve"> </w:t>
            </w:r>
            <w:r>
              <w:rPr>
                <w:rFonts w:ascii="宋体" w:hAnsi="宋体"/>
                <w:kern w:val="0"/>
                <w:szCs w:val="21"/>
              </w:rPr>
              <w:t>评选委员会</w:t>
            </w:r>
            <w:r>
              <w:rPr>
                <w:rFonts w:hint="eastAsia" w:ascii="宋体" w:hAnsi="宋体"/>
                <w:kern w:val="0"/>
                <w:szCs w:val="21"/>
              </w:rPr>
              <w:t>按经评审的最低竞标价法</w:t>
            </w:r>
            <w:r>
              <w:rPr>
                <w:rFonts w:ascii="宋体" w:hAnsi="宋体"/>
                <w:kern w:val="0"/>
                <w:szCs w:val="21"/>
              </w:rPr>
              <w:t>推荐中标候选人。</w:t>
            </w:r>
          </w:p>
          <w:p>
            <w:pPr>
              <w:spacing w:line="400" w:lineRule="exact"/>
              <w:ind w:firstLine="424" w:firstLineChars="200"/>
              <w:rPr>
                <w:rFonts w:ascii="宋体" w:hAnsi="宋体"/>
              </w:rPr>
            </w:pPr>
            <w:r>
              <w:rPr>
                <w:rFonts w:ascii="宋体" w:hAnsi="宋体"/>
                <w:spacing w:val="1"/>
                <w:kern w:val="0"/>
                <w:szCs w:val="21"/>
              </w:rPr>
              <w:t>3</w:t>
            </w:r>
            <w:r>
              <w:rPr>
                <w:rFonts w:ascii="宋体" w:hAnsi="宋体"/>
                <w:kern w:val="0"/>
                <w:szCs w:val="21"/>
              </w:rPr>
              <w:t>.4.2</w:t>
            </w:r>
            <w:r>
              <w:rPr>
                <w:rFonts w:hint="eastAsia" w:ascii="宋体" w:hAnsi="宋体"/>
                <w:kern w:val="0"/>
                <w:szCs w:val="21"/>
              </w:rPr>
              <w:t xml:space="preserve"> </w:t>
            </w:r>
            <w:r>
              <w:rPr>
                <w:rFonts w:ascii="宋体" w:hAnsi="宋体"/>
                <w:kern w:val="0"/>
                <w:szCs w:val="21"/>
              </w:rPr>
              <w:t>评选委员会完成评选后，应当向比选人提交书面评选报告。</w:t>
            </w:r>
          </w:p>
        </w:tc>
      </w:tr>
    </w:tbl>
    <w:p>
      <w:pPr>
        <w:rPr>
          <w:rFonts w:ascii="宋体" w:hAnsi="宋体"/>
        </w:rPr>
      </w:pPr>
    </w:p>
    <w:p>
      <w:pPr>
        <w:rPr>
          <w:rFonts w:ascii="宋体" w:hAnsi="宋体"/>
        </w:rPr>
      </w:pPr>
      <w:r>
        <w:rPr>
          <w:rFonts w:ascii="宋体" w:hAnsi="宋体"/>
        </w:rPr>
        <w:t xml:space="preserve"> </w:t>
      </w:r>
      <w:bookmarkEnd w:id="256"/>
      <w:r>
        <w:rPr>
          <w:rFonts w:ascii="宋体" w:hAnsi="宋体"/>
        </w:rPr>
        <w:t xml:space="preserve"> </w:t>
      </w:r>
    </w:p>
    <w:p>
      <w:pPr>
        <w:rPr>
          <w:rFonts w:ascii="宋体" w:hAnsi="宋体"/>
        </w:rPr>
      </w:pPr>
      <w:bookmarkStart w:id="257" w:name="CQZH1_11"/>
      <w:r>
        <w:rPr>
          <w:rFonts w:ascii="宋体" w:hAnsi="宋体"/>
        </w:rPr>
        <w:t xml:space="preserve"> </w:t>
      </w:r>
    </w:p>
    <w:p>
      <w:pPr>
        <w:rPr>
          <w:rFonts w:ascii="宋体" w:hAnsi="宋体"/>
        </w:rPr>
      </w:pPr>
    </w:p>
    <w:bookmarkEnd w:id="257"/>
    <w:p>
      <w:pPr>
        <w:rPr>
          <w:rFonts w:ascii="宋体" w:hAnsi="宋体"/>
          <w:b/>
          <w:sz w:val="32"/>
          <w:szCs w:val="32"/>
        </w:rPr>
      </w:pPr>
      <w:bookmarkStart w:id="258" w:name="_Toc488005254"/>
      <w:bookmarkStart w:id="259" w:name="_Toc287607801"/>
      <w:bookmarkStart w:id="260" w:name="_Toc287620740"/>
      <w:bookmarkStart w:id="261" w:name="_Toc277082608"/>
      <w:bookmarkStart w:id="262" w:name="_Toc224103373"/>
      <w:r>
        <w:rPr>
          <w:rFonts w:hint="eastAsia" w:ascii="宋体" w:hAnsi="宋体"/>
          <w:b/>
          <w:sz w:val="32"/>
          <w:szCs w:val="32"/>
        </w:rPr>
        <w:br w:type="page"/>
      </w:r>
    </w:p>
    <w:p>
      <w:pPr>
        <w:rPr>
          <w:rFonts w:ascii="宋体" w:hAnsi="宋体"/>
        </w:rPr>
      </w:pPr>
      <w:r>
        <w:rPr>
          <w:rFonts w:hint="eastAsia" w:ascii="宋体" w:hAnsi="宋体"/>
          <w:b/>
          <w:sz w:val="32"/>
          <w:szCs w:val="32"/>
        </w:rPr>
        <w:t>1.  评标方法</w:t>
      </w:r>
      <w:bookmarkEnd w:id="258"/>
      <w:bookmarkEnd w:id="259"/>
      <w:bookmarkEnd w:id="260"/>
      <w:bookmarkEnd w:id="261"/>
      <w:bookmarkEnd w:id="262"/>
    </w:p>
    <w:p>
      <w:pPr>
        <w:adjustRightInd w:val="0"/>
        <w:spacing w:line="400" w:lineRule="exact"/>
        <w:ind w:firstLine="436" w:firstLineChars="200"/>
        <w:outlineLvl w:val="1"/>
        <w:rPr>
          <w:rFonts w:ascii="宋体" w:hAnsi="宋体" w:cs="MingLiU"/>
          <w:spacing w:val="4"/>
          <w:kern w:val="0"/>
          <w:szCs w:val="21"/>
        </w:rPr>
      </w:pPr>
      <w:bookmarkStart w:id="263" w:name="_Toc54249493"/>
      <w:bookmarkStart w:id="264" w:name="_Toc200513188"/>
      <w:bookmarkStart w:id="265" w:name="_Toc488005255"/>
      <w:bookmarkStart w:id="266" w:name="_Toc277082609"/>
      <w:bookmarkStart w:id="267" w:name="_Toc224103374"/>
      <w:bookmarkStart w:id="268" w:name="_Toc287620741"/>
      <w:bookmarkStart w:id="269" w:name="_Toc287607802"/>
      <w:r>
        <w:rPr>
          <w:rFonts w:hint="eastAsia" w:ascii="宋体" w:hAnsi="宋体" w:cs="MingLiU"/>
          <w:spacing w:val="4"/>
          <w:kern w:val="0"/>
          <w:szCs w:val="21"/>
        </w:rPr>
        <w:t>本次评选采用经评审的最低竞标价法，评选委员会按照本章第2.1款进行报价排序，按照本章第2.2款进行符合性审查，符合性审查合格的</w:t>
      </w:r>
      <w:r>
        <w:rPr>
          <w:rFonts w:hint="eastAsia" w:ascii="宋体" w:hAnsi="宋体"/>
          <w:kern w:val="0"/>
          <w:szCs w:val="21"/>
        </w:rPr>
        <w:t>竞标</w:t>
      </w:r>
      <w:r>
        <w:rPr>
          <w:rFonts w:hint="eastAsia" w:ascii="宋体" w:hAnsi="宋体" w:cs="MingLiU"/>
          <w:spacing w:val="4"/>
          <w:kern w:val="0"/>
          <w:szCs w:val="21"/>
        </w:rPr>
        <w:t>人中按报价由低到高推荐中标候选人，或根据比选人授权直接确定中标人。若出现</w:t>
      </w:r>
      <w:r>
        <w:rPr>
          <w:rFonts w:hint="eastAsia" w:ascii="宋体" w:hAnsi="宋体"/>
          <w:kern w:val="0"/>
          <w:szCs w:val="21"/>
        </w:rPr>
        <w:t>竞标</w:t>
      </w:r>
      <w:r>
        <w:rPr>
          <w:rFonts w:hint="eastAsia" w:ascii="宋体" w:hAnsi="宋体" w:cs="MingLiU"/>
          <w:spacing w:val="4"/>
          <w:kern w:val="0"/>
          <w:szCs w:val="21"/>
        </w:rPr>
        <w:t>人竞标报价相同的，以评选办法前附表约定的原则确定排序。</w:t>
      </w:r>
      <w:bookmarkEnd w:id="263"/>
    </w:p>
    <w:p>
      <w:pPr>
        <w:adjustRightInd w:val="0"/>
        <w:spacing w:line="400" w:lineRule="exact"/>
        <w:outlineLvl w:val="1"/>
        <w:rPr>
          <w:rFonts w:ascii="宋体" w:hAnsi="宋体"/>
          <w:b/>
          <w:sz w:val="32"/>
          <w:szCs w:val="32"/>
        </w:rPr>
      </w:pPr>
      <w:bookmarkStart w:id="270" w:name="_Toc54249494"/>
      <w:r>
        <w:rPr>
          <w:rFonts w:hint="eastAsia" w:ascii="宋体" w:hAnsi="宋体"/>
          <w:b/>
          <w:sz w:val="32"/>
          <w:szCs w:val="32"/>
        </w:rPr>
        <w:t>2.  评审标准</w:t>
      </w:r>
      <w:bookmarkEnd w:id="264"/>
      <w:bookmarkEnd w:id="265"/>
      <w:bookmarkEnd w:id="266"/>
      <w:bookmarkEnd w:id="267"/>
      <w:bookmarkEnd w:id="268"/>
      <w:bookmarkEnd w:id="269"/>
      <w:bookmarkEnd w:id="270"/>
    </w:p>
    <w:p>
      <w:pPr>
        <w:pStyle w:val="6"/>
        <w:spacing w:before="0" w:line="360" w:lineRule="auto"/>
        <w:rPr>
          <w:rFonts w:ascii="宋体" w:eastAsia="宋体"/>
          <w:sz w:val="21"/>
          <w:szCs w:val="21"/>
        </w:rPr>
      </w:pPr>
      <w:bookmarkStart w:id="271" w:name="_Toc43450485"/>
      <w:bookmarkStart w:id="272" w:name="_Toc54249495"/>
      <w:bookmarkStart w:id="273" w:name="_Toc224103375"/>
      <w:bookmarkStart w:id="274" w:name="_Toc200513189"/>
      <w:bookmarkStart w:id="275" w:name="_Toc287620742"/>
      <w:bookmarkStart w:id="276" w:name="_Toc287607803"/>
      <w:bookmarkStart w:id="277" w:name="_Toc277082610"/>
      <w:r>
        <w:rPr>
          <w:rFonts w:ascii="宋体" w:eastAsia="宋体"/>
          <w:sz w:val="21"/>
          <w:szCs w:val="21"/>
        </w:rPr>
        <w:t>2.1</w:t>
      </w:r>
      <w:r>
        <w:rPr>
          <w:rFonts w:hint="eastAsia" w:ascii="宋体" w:eastAsia="宋体"/>
          <w:sz w:val="21"/>
          <w:szCs w:val="21"/>
        </w:rPr>
        <w:t>报价</w:t>
      </w:r>
      <w:r>
        <w:rPr>
          <w:rFonts w:ascii="宋体" w:eastAsia="宋体"/>
          <w:sz w:val="21"/>
          <w:szCs w:val="21"/>
        </w:rPr>
        <w:t>排序</w:t>
      </w:r>
      <w:r>
        <w:rPr>
          <w:rFonts w:hint="eastAsia" w:ascii="宋体" w:eastAsia="宋体"/>
          <w:sz w:val="21"/>
          <w:szCs w:val="21"/>
        </w:rPr>
        <w:t>标准</w:t>
      </w:r>
      <w:bookmarkEnd w:id="271"/>
      <w:bookmarkEnd w:id="272"/>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见评选办法前附表。</w:t>
      </w:r>
    </w:p>
    <w:p>
      <w:pPr>
        <w:pStyle w:val="6"/>
        <w:spacing w:before="0" w:line="360" w:lineRule="auto"/>
        <w:rPr>
          <w:rFonts w:ascii="宋体" w:eastAsia="宋体"/>
          <w:sz w:val="21"/>
          <w:szCs w:val="21"/>
        </w:rPr>
      </w:pPr>
      <w:bookmarkStart w:id="278" w:name="_Toc54249496"/>
      <w:bookmarkStart w:id="279" w:name="_Toc43450486"/>
      <w:r>
        <w:rPr>
          <w:rFonts w:ascii="宋体" w:eastAsia="宋体"/>
          <w:sz w:val="21"/>
          <w:szCs w:val="21"/>
        </w:rPr>
        <w:t>2.</w:t>
      </w:r>
      <w:r>
        <w:rPr>
          <w:rFonts w:hint="eastAsia" w:ascii="宋体" w:eastAsia="宋体"/>
          <w:sz w:val="21"/>
          <w:szCs w:val="21"/>
        </w:rPr>
        <w:t>2符合性审查标准</w:t>
      </w:r>
      <w:bookmarkEnd w:id="278"/>
      <w:bookmarkEnd w:id="279"/>
    </w:p>
    <w:p>
      <w:pPr>
        <w:pStyle w:val="5"/>
        <w:rPr>
          <w:rFonts w:ascii="宋体" w:eastAsia="宋体" w:cs="Times New Roman"/>
          <w:b w:val="0"/>
          <w:spacing w:val="0"/>
          <w:w w:val="100"/>
          <w:sz w:val="21"/>
          <w:szCs w:val="21"/>
        </w:rPr>
      </w:pPr>
      <w:bookmarkStart w:id="280" w:name="_Toc54249497"/>
      <w:r>
        <w:rPr>
          <w:rFonts w:hint="eastAsia" w:ascii="宋体" w:eastAsia="宋体" w:cs="Times New Roman"/>
          <w:b w:val="0"/>
          <w:spacing w:val="0"/>
          <w:w w:val="100"/>
          <w:sz w:val="21"/>
          <w:szCs w:val="21"/>
        </w:rPr>
        <w:t>2.2.1形式评选标准：见评选办法前附表。</w:t>
      </w:r>
      <w:bookmarkEnd w:id="280"/>
    </w:p>
    <w:p>
      <w:pPr>
        <w:pStyle w:val="5"/>
        <w:rPr>
          <w:rFonts w:ascii="宋体" w:eastAsia="宋体" w:cs="Times New Roman"/>
          <w:b w:val="0"/>
          <w:spacing w:val="0"/>
          <w:w w:val="100"/>
          <w:sz w:val="21"/>
          <w:szCs w:val="21"/>
        </w:rPr>
      </w:pPr>
      <w:bookmarkStart w:id="281" w:name="_Toc54249498"/>
      <w:r>
        <w:rPr>
          <w:rFonts w:hint="eastAsia" w:ascii="宋体" w:eastAsia="宋体" w:cs="Times New Roman"/>
          <w:b w:val="0"/>
          <w:spacing w:val="0"/>
          <w:w w:val="100"/>
          <w:sz w:val="21"/>
          <w:szCs w:val="21"/>
        </w:rPr>
        <w:t>2.2.2资格评选标准：见评选办法前附表。</w:t>
      </w:r>
      <w:bookmarkEnd w:id="281"/>
    </w:p>
    <w:p>
      <w:pPr>
        <w:pStyle w:val="5"/>
        <w:rPr>
          <w:rFonts w:ascii="宋体" w:eastAsia="宋体" w:cs="Times New Roman"/>
          <w:b w:val="0"/>
          <w:spacing w:val="0"/>
          <w:w w:val="100"/>
          <w:sz w:val="21"/>
          <w:szCs w:val="21"/>
        </w:rPr>
      </w:pPr>
      <w:bookmarkStart w:id="282" w:name="_Toc54249499"/>
      <w:r>
        <w:rPr>
          <w:rFonts w:hint="eastAsia" w:ascii="宋体" w:eastAsia="宋体" w:cs="Times New Roman"/>
          <w:b w:val="0"/>
          <w:spacing w:val="0"/>
          <w:w w:val="100"/>
          <w:sz w:val="21"/>
          <w:szCs w:val="21"/>
        </w:rPr>
        <w:t>2.2.3 响应性评选标准：见评选办法前附表。</w:t>
      </w:r>
      <w:bookmarkEnd w:id="282"/>
    </w:p>
    <w:bookmarkEnd w:id="273"/>
    <w:bookmarkEnd w:id="274"/>
    <w:bookmarkEnd w:id="275"/>
    <w:bookmarkEnd w:id="276"/>
    <w:bookmarkEnd w:id="277"/>
    <w:p>
      <w:pPr>
        <w:adjustRightInd w:val="0"/>
        <w:spacing w:line="400" w:lineRule="exact"/>
        <w:outlineLvl w:val="1"/>
        <w:rPr>
          <w:rFonts w:ascii="宋体" w:hAnsi="宋体"/>
          <w:b/>
          <w:sz w:val="32"/>
          <w:szCs w:val="32"/>
        </w:rPr>
      </w:pPr>
      <w:bookmarkStart w:id="283" w:name="_Toc200513191"/>
      <w:bookmarkStart w:id="284" w:name="_Toc277082612"/>
      <w:bookmarkStart w:id="285" w:name="_Toc224103377"/>
      <w:bookmarkStart w:id="286" w:name="_Toc287607805"/>
      <w:bookmarkStart w:id="287" w:name="_Toc287620744"/>
      <w:bookmarkStart w:id="288" w:name="_Toc488005256"/>
      <w:bookmarkStart w:id="289" w:name="_Toc54249500"/>
      <w:r>
        <w:rPr>
          <w:rFonts w:hint="eastAsia" w:ascii="宋体" w:hAnsi="宋体"/>
          <w:b/>
          <w:sz w:val="32"/>
          <w:szCs w:val="32"/>
        </w:rPr>
        <w:t>3.  评标程序</w:t>
      </w:r>
      <w:bookmarkEnd w:id="283"/>
      <w:bookmarkEnd w:id="284"/>
      <w:bookmarkEnd w:id="285"/>
      <w:bookmarkEnd w:id="286"/>
      <w:bookmarkEnd w:id="287"/>
      <w:bookmarkEnd w:id="288"/>
      <w:bookmarkEnd w:id="289"/>
    </w:p>
    <w:p>
      <w:pPr>
        <w:spacing w:line="400" w:lineRule="exact"/>
        <w:rPr>
          <w:rFonts w:ascii="宋体" w:hAnsi="宋体"/>
          <w:b/>
        </w:rPr>
      </w:pPr>
      <w:bookmarkStart w:id="290" w:name="_Toc277082613"/>
      <w:bookmarkStart w:id="291" w:name="_Toc287607806"/>
      <w:bookmarkStart w:id="292" w:name="_Toc224103378"/>
      <w:bookmarkStart w:id="293" w:name="_Toc200513192"/>
      <w:bookmarkStart w:id="294" w:name="_Toc287620745"/>
      <w:r>
        <w:rPr>
          <w:rFonts w:ascii="宋体" w:hAnsi="宋体"/>
          <w:b/>
        </w:rPr>
        <w:t xml:space="preserve">3.1  </w:t>
      </w:r>
      <w:bookmarkEnd w:id="290"/>
      <w:bookmarkEnd w:id="291"/>
      <w:bookmarkEnd w:id="292"/>
      <w:bookmarkEnd w:id="293"/>
      <w:bookmarkEnd w:id="294"/>
      <w:r>
        <w:rPr>
          <w:rFonts w:hint="eastAsia" w:ascii="宋体" w:hAnsi="宋体"/>
          <w:b/>
        </w:rPr>
        <w:t>报价排序</w:t>
      </w:r>
    </w:p>
    <w:p>
      <w:pPr>
        <w:spacing w:line="360" w:lineRule="auto"/>
        <w:ind w:firstLine="413" w:firstLineChars="197"/>
        <w:rPr>
          <w:rFonts w:ascii="宋体" w:hAnsi="宋体" w:cs="宋体"/>
          <w:szCs w:val="21"/>
        </w:rPr>
      </w:pPr>
      <w:r>
        <w:rPr>
          <w:rFonts w:hint="eastAsia" w:ascii="宋体" w:hAnsi="宋体" w:cs="宋体"/>
          <w:szCs w:val="21"/>
        </w:rPr>
        <w:t>对报价不高于最高限价的所有竞标人的竞标文件，按照报价由低到高的顺序排序。</w:t>
      </w:r>
    </w:p>
    <w:p>
      <w:pPr>
        <w:pStyle w:val="6"/>
        <w:spacing w:before="0" w:line="360" w:lineRule="auto"/>
        <w:rPr>
          <w:rFonts w:ascii="宋体" w:eastAsia="宋体"/>
          <w:sz w:val="21"/>
          <w:szCs w:val="21"/>
        </w:rPr>
      </w:pPr>
      <w:bookmarkStart w:id="295" w:name="_Toc43450489"/>
      <w:bookmarkStart w:id="296" w:name="_Toc54249501"/>
      <w:r>
        <w:rPr>
          <w:rFonts w:ascii="宋体" w:eastAsia="宋体"/>
          <w:sz w:val="21"/>
          <w:szCs w:val="21"/>
        </w:rPr>
        <w:t>3.</w:t>
      </w:r>
      <w:r>
        <w:rPr>
          <w:rFonts w:hint="eastAsia" w:ascii="宋体" w:eastAsia="宋体"/>
          <w:sz w:val="21"/>
          <w:szCs w:val="21"/>
        </w:rPr>
        <w:t>2符合性审查</w:t>
      </w:r>
      <w:bookmarkEnd w:id="295"/>
      <w:bookmarkEnd w:id="296"/>
    </w:p>
    <w:p>
      <w:pPr>
        <w:spacing w:line="360" w:lineRule="auto"/>
        <w:ind w:firstLine="413" w:firstLineChars="197"/>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.1评选委员会依据本章第2.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款规定的标准对竞标文件进行符合性审查。符合性审查顺序：形式评审、资格评审、响应性评审。有一项不符合评审标准的，作否决竞标处理。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 xml:space="preserve">.2 </w:t>
      </w:r>
      <w:r>
        <w:rPr>
          <w:rFonts w:hint="eastAsia" w:ascii="宋体" w:hAnsi="宋体" w:cs="宋体"/>
          <w:szCs w:val="21"/>
        </w:rPr>
        <w:t>竞标人</w:t>
      </w:r>
      <w:r>
        <w:rPr>
          <w:rFonts w:ascii="宋体" w:hAnsi="宋体" w:cs="宋体"/>
          <w:szCs w:val="21"/>
        </w:rPr>
        <w:t>有以下情形之一的，</w:t>
      </w:r>
      <w:r>
        <w:rPr>
          <w:rFonts w:hint="eastAsia" w:ascii="宋体" w:hAnsi="宋体" w:cs="宋体"/>
          <w:szCs w:val="21"/>
        </w:rPr>
        <w:t>其竞标文件将被否决：</w:t>
      </w:r>
    </w:p>
    <w:p>
      <w:pPr>
        <w:spacing w:line="360" w:lineRule="auto"/>
        <w:ind w:firstLine="405" w:firstLineChars="193"/>
        <w:rPr>
          <w:rFonts w:ascii="宋体" w:hAnsi="宋体" w:cs="宋体"/>
          <w:szCs w:val="21"/>
        </w:rPr>
      </w:pPr>
      <w:r>
        <w:rPr>
          <w:rFonts w:hint="eastAsia" w:ascii="宋体" w:hAnsi="宋体" w:cs="宋体"/>
          <w:szCs w:val="21"/>
        </w:rPr>
        <w:t>（1</w:t>
      </w:r>
      <w:r>
        <w:rPr>
          <w:rFonts w:ascii="宋体" w:hAnsi="宋体" w:cs="宋体"/>
          <w:szCs w:val="21"/>
        </w:rPr>
        <w:t>）第二章“</w:t>
      </w:r>
      <w:r>
        <w:rPr>
          <w:rFonts w:hint="eastAsia" w:ascii="宋体" w:hAnsi="宋体" w:cs="宋体"/>
          <w:szCs w:val="21"/>
        </w:rPr>
        <w:t>竞标人</w:t>
      </w:r>
      <w:r>
        <w:rPr>
          <w:rFonts w:ascii="宋体" w:hAnsi="宋体" w:cs="宋体"/>
          <w:szCs w:val="21"/>
        </w:rPr>
        <w:t xml:space="preserve">须知”第1.4.3 </w:t>
      </w:r>
      <w:r>
        <w:rPr>
          <w:rFonts w:hint="eastAsia" w:ascii="宋体" w:hAnsi="宋体" w:cs="宋体"/>
          <w:szCs w:val="21"/>
        </w:rPr>
        <w:t>项</w:t>
      </w:r>
      <w:r>
        <w:rPr>
          <w:rFonts w:ascii="宋体" w:hAnsi="宋体" w:cs="宋体"/>
          <w:szCs w:val="21"/>
        </w:rPr>
        <w:t>规定的任何一种情形的；</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）串通</w:t>
      </w:r>
      <w:r>
        <w:rPr>
          <w:rFonts w:hint="eastAsia" w:ascii="宋体" w:hAnsi="宋体" w:cs="宋体"/>
          <w:szCs w:val="21"/>
        </w:rPr>
        <w:t>竞标</w:t>
      </w:r>
      <w:r>
        <w:rPr>
          <w:rFonts w:ascii="宋体" w:hAnsi="宋体" w:cs="宋体"/>
          <w:szCs w:val="21"/>
        </w:rPr>
        <w:t>或弄虚作假或有其他违法行为的</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（3）不按评选委员会要求澄清、说明或补正的。</w:t>
      </w:r>
    </w:p>
    <w:p>
      <w:pPr>
        <w:spacing w:line="360" w:lineRule="auto"/>
        <w:ind w:firstLine="420" w:firstLineChars="200"/>
        <w:rPr>
          <w:rFonts w:ascii="宋体" w:hAnsi="宋体" w:cs="宋体"/>
          <w:szCs w:val="21"/>
        </w:rPr>
      </w:pPr>
      <w:r>
        <w:rPr>
          <w:rFonts w:hint="eastAsia" w:ascii="宋体" w:hAnsi="宋体" w:cs="宋体"/>
          <w:szCs w:val="21"/>
        </w:rPr>
        <w:t>3.2.3 竞标报价有算术错误的，评选委员会按以下原则对竞标报价进行修正，修正的价格经竞标人书面确认后具有约束力，修正原则如下：</w:t>
      </w:r>
    </w:p>
    <w:p>
      <w:pPr>
        <w:spacing w:line="360" w:lineRule="auto"/>
        <w:ind w:firstLine="420" w:firstLineChars="200"/>
        <w:rPr>
          <w:rFonts w:ascii="宋体" w:hAnsi="宋体" w:cs="宋体"/>
          <w:szCs w:val="21"/>
        </w:rPr>
      </w:pPr>
      <w:r>
        <w:rPr>
          <w:rFonts w:hint="eastAsia" w:ascii="宋体" w:hAnsi="宋体" w:cs="宋体"/>
          <w:szCs w:val="21"/>
        </w:rPr>
        <w:t>（1）竞标文件中的大写金额与小写金额不一致的，以大写金额为准；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（2）总价金额与依据单价计算出的结果不一致的，以单价金额为准修正总价（但单价金额小数点有明显错误的除外）；单价金额小数点有明显错误的，以总价为准，对单价予以修正。</w:t>
      </w:r>
    </w:p>
    <w:p>
      <w:pPr>
        <w:pStyle w:val="6"/>
        <w:spacing w:before="0" w:line="360" w:lineRule="auto"/>
        <w:rPr>
          <w:rFonts w:ascii="宋体" w:eastAsia="宋体"/>
          <w:sz w:val="21"/>
          <w:szCs w:val="21"/>
        </w:rPr>
      </w:pPr>
      <w:bookmarkStart w:id="297" w:name="_Toc43450490"/>
      <w:bookmarkStart w:id="298" w:name="_Toc54249502"/>
      <w:r>
        <w:rPr>
          <w:rFonts w:ascii="宋体" w:eastAsia="宋体"/>
          <w:sz w:val="21"/>
          <w:szCs w:val="21"/>
        </w:rPr>
        <w:t>3.</w:t>
      </w:r>
      <w:r>
        <w:rPr>
          <w:rFonts w:hint="eastAsia" w:ascii="宋体" w:eastAsia="宋体"/>
          <w:sz w:val="21"/>
          <w:szCs w:val="21"/>
        </w:rPr>
        <w:t>3</w:t>
      </w:r>
      <w:r>
        <w:rPr>
          <w:rFonts w:ascii="宋体" w:eastAsia="宋体"/>
          <w:sz w:val="21"/>
          <w:szCs w:val="21"/>
        </w:rPr>
        <w:t xml:space="preserve"> </w:t>
      </w:r>
      <w:r>
        <w:rPr>
          <w:rFonts w:hint="eastAsia" w:ascii="宋体" w:eastAsia="宋体"/>
          <w:sz w:val="21"/>
          <w:szCs w:val="21"/>
        </w:rPr>
        <w:t>竞标文件的澄清和补正</w:t>
      </w:r>
      <w:bookmarkEnd w:id="297"/>
      <w:bookmarkEnd w:id="298"/>
    </w:p>
    <w:p>
      <w:pPr>
        <w:spacing w:line="360" w:lineRule="auto"/>
        <w:ind w:firstLine="420" w:firstLineChars="200"/>
        <w:rPr>
          <w:rFonts w:ascii="宋体" w:hAnsi="宋体" w:cs="宋体"/>
          <w:szCs w:val="21"/>
        </w:rPr>
      </w:pPr>
      <w:bookmarkStart w:id="299" w:name="_Toc484465184"/>
      <w:bookmarkStart w:id="300" w:name="_Toc479262406"/>
      <w:bookmarkStart w:id="301" w:name="_Toc43450491"/>
      <w:r>
        <w:rPr>
          <w:rFonts w:ascii="宋体" w:hAnsi="宋体" w:cs="宋体"/>
          <w:szCs w:val="21"/>
        </w:rPr>
        <w:t>3.</w:t>
      </w:r>
      <w:r>
        <w:rPr>
          <w:rFonts w:hint="eastAsia" w:ascii="宋体" w:hAnsi="宋体" w:cs="宋体"/>
          <w:szCs w:val="21"/>
        </w:rPr>
        <w:t>3</w:t>
      </w:r>
      <w:r>
        <w:rPr>
          <w:rFonts w:ascii="宋体" w:hAnsi="宋体" w:cs="宋体"/>
          <w:szCs w:val="21"/>
        </w:rPr>
        <w:t xml:space="preserve">.1 </w:t>
      </w:r>
      <w:r>
        <w:rPr>
          <w:rFonts w:hint="eastAsia" w:ascii="宋体" w:hAnsi="宋体" w:cs="宋体"/>
          <w:szCs w:val="21"/>
        </w:rPr>
        <w:t>在评选过程中，评选委员会可以书面形式要求</w:t>
      </w:r>
      <w:r>
        <w:rPr>
          <w:rFonts w:hint="eastAsia" w:ascii="宋体" w:hAnsi="宋体"/>
          <w:kern w:val="0"/>
          <w:szCs w:val="21"/>
        </w:rPr>
        <w:t>竞标</w:t>
      </w:r>
      <w:r>
        <w:rPr>
          <w:rFonts w:hint="eastAsia" w:ascii="宋体" w:hAnsi="宋体" w:cs="宋体"/>
          <w:szCs w:val="21"/>
        </w:rPr>
        <w:t>人对所提交</w:t>
      </w:r>
      <w:r>
        <w:rPr>
          <w:rFonts w:hint="eastAsia" w:ascii="宋体" w:hAnsi="宋体"/>
          <w:kern w:val="0"/>
          <w:szCs w:val="21"/>
        </w:rPr>
        <w:t>竞标</w:t>
      </w:r>
      <w:r>
        <w:rPr>
          <w:rFonts w:hint="eastAsia" w:ascii="宋体" w:hAnsi="宋体" w:cs="宋体"/>
          <w:szCs w:val="21"/>
        </w:rPr>
        <w:t>文件中不明确的内容进行书面澄清或说明，或者对细微偏差进行补正。评选委员会不接受</w:t>
      </w:r>
      <w:r>
        <w:rPr>
          <w:rFonts w:hint="eastAsia" w:ascii="宋体" w:hAnsi="宋体"/>
          <w:kern w:val="0"/>
          <w:szCs w:val="21"/>
        </w:rPr>
        <w:t>竞标</w:t>
      </w:r>
      <w:r>
        <w:rPr>
          <w:rFonts w:hint="eastAsia" w:ascii="宋体" w:hAnsi="宋体" w:cs="宋体"/>
          <w:szCs w:val="21"/>
        </w:rPr>
        <w:t>人主动提出的澄清、说明或补正。</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.2 </w:t>
      </w:r>
      <w:r>
        <w:rPr>
          <w:rFonts w:hint="eastAsia" w:ascii="宋体" w:hAnsi="宋体" w:cs="宋体"/>
          <w:szCs w:val="21"/>
        </w:rPr>
        <w:t>澄清、说明和补正不得改变</w:t>
      </w:r>
      <w:r>
        <w:rPr>
          <w:rFonts w:hint="eastAsia" w:ascii="宋体" w:hAnsi="宋体"/>
          <w:kern w:val="0"/>
          <w:szCs w:val="21"/>
        </w:rPr>
        <w:t>竞标</w:t>
      </w:r>
      <w:r>
        <w:rPr>
          <w:rFonts w:hint="eastAsia" w:ascii="宋体" w:hAnsi="宋体" w:cs="宋体"/>
          <w:szCs w:val="21"/>
        </w:rPr>
        <w:t>文件的实质性内容（算术性错误修正的除外）。</w:t>
      </w:r>
      <w:r>
        <w:rPr>
          <w:rFonts w:hint="eastAsia" w:ascii="宋体" w:hAnsi="宋体"/>
          <w:kern w:val="0"/>
          <w:szCs w:val="21"/>
        </w:rPr>
        <w:t>竞标</w:t>
      </w:r>
      <w:r>
        <w:rPr>
          <w:rFonts w:hint="eastAsia" w:ascii="宋体" w:hAnsi="宋体" w:cs="宋体"/>
          <w:szCs w:val="21"/>
        </w:rPr>
        <w:t>人的书面澄清、说明和补正属于</w:t>
      </w:r>
      <w:r>
        <w:rPr>
          <w:rFonts w:hint="eastAsia" w:ascii="宋体" w:hAnsi="宋体"/>
          <w:kern w:val="0"/>
          <w:szCs w:val="21"/>
        </w:rPr>
        <w:t>竞标</w:t>
      </w:r>
      <w:r>
        <w:rPr>
          <w:rFonts w:hint="eastAsia" w:ascii="宋体" w:hAnsi="宋体" w:cs="宋体"/>
          <w:szCs w:val="21"/>
        </w:rPr>
        <w:t>文件的组成部分。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.3 </w:t>
      </w:r>
      <w:r>
        <w:rPr>
          <w:rFonts w:hint="eastAsia" w:ascii="宋体" w:hAnsi="宋体" w:cs="宋体"/>
          <w:szCs w:val="21"/>
        </w:rPr>
        <w:t>评选委员会对</w:t>
      </w:r>
      <w:r>
        <w:rPr>
          <w:rFonts w:hint="eastAsia" w:ascii="宋体" w:hAnsi="宋体"/>
          <w:kern w:val="0"/>
          <w:szCs w:val="21"/>
        </w:rPr>
        <w:t>竞标</w:t>
      </w:r>
      <w:r>
        <w:rPr>
          <w:rFonts w:hint="eastAsia" w:ascii="宋体" w:hAnsi="宋体" w:cs="宋体"/>
          <w:szCs w:val="21"/>
        </w:rPr>
        <w:t>人提交的澄清、说明或补正有疑问的，可以要求</w:t>
      </w:r>
      <w:r>
        <w:rPr>
          <w:rFonts w:hint="eastAsia" w:ascii="宋体" w:hAnsi="宋体"/>
          <w:kern w:val="0"/>
          <w:szCs w:val="21"/>
        </w:rPr>
        <w:t>竞标</w:t>
      </w:r>
      <w:r>
        <w:rPr>
          <w:rFonts w:hint="eastAsia" w:ascii="宋体" w:hAnsi="宋体" w:cs="宋体"/>
          <w:szCs w:val="21"/>
        </w:rPr>
        <w:t>人进一步澄清、说明或补正，直至满足评选委员会的要求。</w:t>
      </w:r>
    </w:p>
    <w:p>
      <w:pPr>
        <w:pStyle w:val="6"/>
        <w:spacing w:before="0" w:line="360" w:lineRule="auto"/>
        <w:rPr>
          <w:rFonts w:ascii="宋体" w:eastAsia="宋体"/>
          <w:sz w:val="21"/>
          <w:szCs w:val="21"/>
        </w:rPr>
      </w:pPr>
      <w:bookmarkStart w:id="302" w:name="_Toc54249503"/>
      <w:r>
        <w:rPr>
          <w:rFonts w:ascii="宋体" w:eastAsia="宋体"/>
          <w:sz w:val="21"/>
          <w:szCs w:val="21"/>
        </w:rPr>
        <w:t>3.</w:t>
      </w:r>
      <w:r>
        <w:rPr>
          <w:rFonts w:hint="eastAsia" w:ascii="宋体" w:eastAsia="宋体"/>
          <w:sz w:val="21"/>
          <w:szCs w:val="21"/>
        </w:rPr>
        <w:t>4</w:t>
      </w:r>
      <w:r>
        <w:rPr>
          <w:rFonts w:ascii="宋体" w:eastAsia="宋体"/>
          <w:sz w:val="21"/>
          <w:szCs w:val="21"/>
        </w:rPr>
        <w:t xml:space="preserve"> </w:t>
      </w:r>
      <w:r>
        <w:rPr>
          <w:rFonts w:hint="eastAsia" w:ascii="宋体" w:eastAsia="宋体"/>
          <w:sz w:val="21"/>
          <w:szCs w:val="21"/>
        </w:rPr>
        <w:t>评选结果</w:t>
      </w:r>
      <w:bookmarkEnd w:id="299"/>
      <w:bookmarkEnd w:id="300"/>
      <w:bookmarkEnd w:id="301"/>
      <w:bookmarkEnd w:id="302"/>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除第二章“竞标人须知”前附表授权直接确定中标人外，评选委员会按经评审的最低竞标价法推荐中标候选人。</w:t>
      </w:r>
    </w:p>
    <w:p>
      <w:pPr>
        <w:autoSpaceDE w:val="0"/>
        <w:autoSpaceDN w:val="0"/>
        <w:adjustRightInd w:val="0"/>
        <w:spacing w:before="9" w:line="360" w:lineRule="auto"/>
        <w:ind w:right="-20"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.2</w:t>
      </w:r>
      <w:r>
        <w:rPr>
          <w:rFonts w:hint="eastAsia" w:ascii="宋体" w:hAnsi="宋体" w:cs="宋体"/>
          <w:szCs w:val="21"/>
        </w:rPr>
        <w:t xml:space="preserve"> 评选委员会完成评选后，应当向比选人提交书面评选报告和中标候选人名单。</w:t>
      </w:r>
    </w:p>
    <w:p>
      <w:pPr>
        <w:rPr>
          <w:rFonts w:ascii="宋体" w:hAnsi="宋体"/>
          <w:szCs w:val="20"/>
        </w:rPr>
      </w:pPr>
    </w:p>
    <w:p>
      <w:pPr>
        <w:spacing w:line="360" w:lineRule="auto"/>
        <w:rPr>
          <w:rFonts w:ascii="宋体" w:hAnsi="宋体"/>
          <w:szCs w:val="20"/>
        </w:rPr>
      </w:pPr>
      <w:r>
        <w:rPr>
          <w:rFonts w:ascii="宋体" w:hAnsi="宋体"/>
          <w:szCs w:val="20"/>
        </w:rPr>
        <w:br w:type="page"/>
      </w:r>
      <w:r>
        <w:rPr>
          <w:rFonts w:hint="eastAsia" w:ascii="宋体" w:hAnsi="宋体"/>
          <w:szCs w:val="20"/>
        </w:rPr>
        <w:t>附件</w:t>
      </w:r>
      <w:r>
        <w:rPr>
          <w:rFonts w:ascii="宋体" w:hAnsi="宋体"/>
          <w:szCs w:val="20"/>
        </w:rPr>
        <w:t>A</w:t>
      </w:r>
      <w:r>
        <w:rPr>
          <w:rFonts w:hint="eastAsia" w:ascii="宋体" w:hAnsi="宋体"/>
          <w:szCs w:val="20"/>
        </w:rPr>
        <w:t>：否决竞标条件</w:t>
      </w:r>
      <w:r>
        <w:rPr>
          <w:rFonts w:ascii="宋体" w:hAnsi="宋体"/>
          <w:szCs w:val="20"/>
        </w:rPr>
        <w:t xml:space="preserve">  </w:t>
      </w:r>
    </w:p>
    <w:p>
      <w:pPr>
        <w:spacing w:line="360" w:lineRule="auto"/>
        <w:jc w:val="center"/>
        <w:rPr>
          <w:rFonts w:ascii="宋体" w:hAnsi="宋体"/>
          <w:szCs w:val="20"/>
        </w:rPr>
      </w:pPr>
    </w:p>
    <w:p>
      <w:pPr>
        <w:pStyle w:val="35"/>
        <w:spacing w:line="360" w:lineRule="auto"/>
        <w:rPr>
          <w:rFonts w:ascii="宋体" w:hAnsi="宋体" w:eastAsia="宋体"/>
          <w:sz w:val="28"/>
          <w:szCs w:val="28"/>
          <w:lang w:eastAsia="zh-CN"/>
        </w:rPr>
      </w:pPr>
      <w:bookmarkStart w:id="303" w:name="招标文件03章01评标办法经评审的最低投标价法02附件06"/>
      <w:bookmarkEnd w:id="303"/>
      <w:bookmarkStart w:id="304" w:name="招标文件03章01评标办法经评审的最低投标价法02附件04"/>
      <w:bookmarkEnd w:id="304"/>
      <w:bookmarkStart w:id="305" w:name="招标文件03章01评标办法经评审的最低投标价法02附件02"/>
      <w:bookmarkEnd w:id="305"/>
      <w:r>
        <w:rPr>
          <w:rFonts w:hint="eastAsia" w:ascii="宋体" w:hAnsi="宋体" w:eastAsia="宋体"/>
          <w:sz w:val="28"/>
          <w:szCs w:val="28"/>
          <w:lang w:eastAsia="zh-CN"/>
        </w:rPr>
        <w:t>附件A：经评审的最低竞标价法否决竞标情况一览表</w:t>
      </w:r>
    </w:p>
    <w:p>
      <w:pPr>
        <w:pStyle w:val="35"/>
        <w:spacing w:line="360" w:lineRule="auto"/>
        <w:jc w:val="both"/>
        <w:rPr>
          <w:rFonts w:ascii="宋体" w:hAnsi="宋体" w:eastAsia="宋体"/>
          <w:b/>
          <w:sz w:val="24"/>
          <w:u w:val="none"/>
          <w:lang w:eastAsia="zh-CN"/>
        </w:rPr>
      </w:pPr>
      <w:r>
        <w:rPr>
          <w:rFonts w:hint="eastAsia" w:ascii="宋体" w:hAnsi="宋体" w:eastAsia="宋体"/>
          <w:b/>
          <w:sz w:val="24"/>
          <w:u w:val="none"/>
          <w:lang w:eastAsia="zh-CN"/>
        </w:rPr>
        <w:t>一览表否决竞标条件之外的评标委员会不得判为重大偏差。</w:t>
      </w:r>
    </w:p>
    <w:p>
      <w:pPr>
        <w:rPr>
          <w:rFonts w:ascii="宋体" w:hAnsi="宋体"/>
          <w:szCs w:val="20"/>
        </w:rPr>
      </w:pPr>
    </w:p>
    <w:p>
      <w:pPr>
        <w:rPr>
          <w:rFonts w:ascii="宋体" w:hAnsi="宋体"/>
        </w:rPr>
      </w:pPr>
      <w:r>
        <w:rPr>
          <w:rFonts w:ascii="宋体" w:hAnsi="宋体"/>
        </w:rPr>
        <w:t xml:space="preserve"> </w:t>
      </w:r>
      <w:bookmarkEnd w:id="245"/>
    </w:p>
    <w:tbl>
      <w:tblPr>
        <w:tblStyle w:val="49"/>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124"/>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tcPr>
          <w:p>
            <w:pPr>
              <w:rPr>
                <w:rFonts w:ascii="宋体" w:hAnsi="宋体" w:cs="宋体"/>
                <w:b/>
                <w:szCs w:val="21"/>
              </w:rPr>
            </w:pPr>
            <w:r>
              <w:rPr>
                <w:rFonts w:hint="eastAsia" w:ascii="宋体" w:hAnsi="宋体" w:cs="宋体"/>
                <w:b/>
                <w:szCs w:val="21"/>
              </w:rPr>
              <w:t>比选文件章节号</w:t>
            </w:r>
          </w:p>
        </w:tc>
        <w:tc>
          <w:tcPr>
            <w:tcW w:w="1124" w:type="dxa"/>
          </w:tcPr>
          <w:p>
            <w:pPr>
              <w:jc w:val="center"/>
              <w:rPr>
                <w:rFonts w:ascii="宋体" w:hAnsi="宋体" w:cs="宋体"/>
                <w:b/>
                <w:szCs w:val="21"/>
              </w:rPr>
            </w:pPr>
            <w:r>
              <w:rPr>
                <w:rFonts w:hint="eastAsia" w:ascii="宋体" w:hAnsi="宋体" w:cs="宋体"/>
                <w:b/>
                <w:szCs w:val="21"/>
              </w:rPr>
              <w:t>条款名称</w:t>
            </w:r>
          </w:p>
        </w:tc>
        <w:tc>
          <w:tcPr>
            <w:tcW w:w="6465" w:type="dxa"/>
          </w:tcPr>
          <w:p>
            <w:pPr>
              <w:jc w:val="center"/>
              <w:rPr>
                <w:rFonts w:ascii="宋体" w:hAnsi="宋体" w:cs="宋体"/>
                <w:b/>
                <w:szCs w:val="21"/>
              </w:rPr>
            </w:pPr>
            <w:r>
              <w:rPr>
                <w:rFonts w:hint="eastAsia" w:ascii="宋体" w:hAnsi="宋体" w:cs="宋体"/>
                <w:b/>
                <w:szCs w:val="21"/>
              </w:rPr>
              <w:t>否决竞标条件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szCs w:val="21"/>
              </w:rPr>
            </w:pPr>
            <w:r>
              <w:rPr>
                <w:rFonts w:hint="eastAsia" w:ascii="宋体" w:hAnsi="宋体" w:cs="宋体"/>
                <w:szCs w:val="21"/>
              </w:rPr>
              <w:t>第二章1.4.1</w:t>
            </w:r>
          </w:p>
        </w:tc>
        <w:tc>
          <w:tcPr>
            <w:tcW w:w="1124" w:type="dxa"/>
            <w:vAlign w:val="center"/>
          </w:tcPr>
          <w:p>
            <w:pPr>
              <w:spacing w:line="420" w:lineRule="exact"/>
              <w:jc w:val="center"/>
              <w:rPr>
                <w:rFonts w:ascii="宋体" w:hAnsi="宋体" w:cs="宋体"/>
                <w:szCs w:val="21"/>
              </w:rPr>
            </w:pPr>
            <w:r>
              <w:rPr>
                <w:rFonts w:hint="eastAsia" w:ascii="宋体" w:hAnsi="宋体" w:cs="宋体"/>
                <w:szCs w:val="21"/>
              </w:rPr>
              <w:t>竞标人资格条件及能力</w:t>
            </w:r>
          </w:p>
        </w:tc>
        <w:tc>
          <w:tcPr>
            <w:tcW w:w="6465" w:type="dxa"/>
          </w:tcPr>
          <w:p>
            <w:pPr>
              <w:autoSpaceDE w:val="0"/>
              <w:autoSpaceDN w:val="0"/>
              <w:adjustRightInd w:val="0"/>
              <w:spacing w:line="360" w:lineRule="auto"/>
              <w:ind w:firstLine="420" w:firstLineChars="200"/>
              <w:rPr>
                <w:rFonts w:ascii="宋体" w:hAnsi="宋体" w:cs="宋体"/>
                <w:b/>
                <w:szCs w:val="21"/>
              </w:rPr>
            </w:pPr>
            <w:r>
              <w:rPr>
                <w:rFonts w:hint="eastAsia" w:ascii="宋体" w:hAnsi="宋体" w:cs="宋体"/>
              </w:rPr>
              <w:t>满足比选文件第二章须知前附表第 1.4.1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szCs w:val="21"/>
              </w:rPr>
            </w:pPr>
            <w:r>
              <w:rPr>
                <w:rFonts w:hint="eastAsia" w:ascii="宋体" w:hAnsi="宋体" w:cs="宋体"/>
                <w:szCs w:val="21"/>
              </w:rPr>
              <w:t>第二章3.2.1</w:t>
            </w:r>
          </w:p>
        </w:tc>
        <w:tc>
          <w:tcPr>
            <w:tcW w:w="1124" w:type="dxa"/>
            <w:vAlign w:val="center"/>
          </w:tcPr>
          <w:p>
            <w:pPr>
              <w:jc w:val="center"/>
              <w:rPr>
                <w:rFonts w:ascii="宋体" w:hAnsi="宋体" w:cs="宋体"/>
                <w:szCs w:val="21"/>
              </w:rPr>
            </w:pPr>
            <w:r>
              <w:rPr>
                <w:rFonts w:hint="eastAsia" w:ascii="宋体" w:hAnsi="宋体" w:cs="宋体"/>
                <w:szCs w:val="21"/>
              </w:rPr>
              <w:t>竞标报价</w:t>
            </w:r>
          </w:p>
        </w:tc>
        <w:tc>
          <w:tcPr>
            <w:tcW w:w="6465" w:type="dxa"/>
          </w:tcPr>
          <w:p>
            <w:pPr>
              <w:autoSpaceDE w:val="0"/>
              <w:autoSpaceDN w:val="0"/>
              <w:adjustRightInd w:val="0"/>
              <w:spacing w:line="360" w:lineRule="auto"/>
              <w:ind w:firstLine="420" w:firstLineChars="200"/>
              <w:rPr>
                <w:rFonts w:ascii="宋体" w:hAnsi="宋体" w:cs="宋体"/>
              </w:rPr>
            </w:pPr>
            <w:r>
              <w:rPr>
                <w:rFonts w:hint="eastAsia" w:ascii="宋体" w:hAnsi="宋体" w:cs="宋体"/>
              </w:rPr>
              <w:t>竞标人的竞标报价不得超过其对应的最高限价，否则按否决竞标处理。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szCs w:val="21"/>
              </w:rPr>
            </w:pPr>
            <w:r>
              <w:rPr>
                <w:rFonts w:hint="eastAsia" w:ascii="宋体" w:hAnsi="宋体" w:cs="宋体"/>
                <w:szCs w:val="21"/>
              </w:rPr>
              <w:t>第二章3.7.3</w:t>
            </w:r>
          </w:p>
        </w:tc>
        <w:tc>
          <w:tcPr>
            <w:tcW w:w="1124" w:type="dxa"/>
            <w:vAlign w:val="center"/>
          </w:tcPr>
          <w:p>
            <w:pPr>
              <w:spacing w:line="420" w:lineRule="exact"/>
              <w:jc w:val="center"/>
              <w:rPr>
                <w:rFonts w:ascii="宋体" w:hAnsi="宋体" w:cs="宋体"/>
                <w:szCs w:val="21"/>
              </w:rPr>
            </w:pPr>
            <w:r>
              <w:rPr>
                <w:rFonts w:hint="eastAsia" w:ascii="宋体" w:hAnsi="宋体" w:cs="宋体"/>
                <w:szCs w:val="21"/>
              </w:rPr>
              <w:t>签字盖章要求</w:t>
            </w:r>
          </w:p>
        </w:tc>
        <w:tc>
          <w:tcPr>
            <w:tcW w:w="6465" w:type="dxa"/>
          </w:tcPr>
          <w:p>
            <w:pPr>
              <w:autoSpaceDE w:val="0"/>
              <w:autoSpaceDN w:val="0"/>
              <w:adjustRightInd w:val="0"/>
              <w:spacing w:line="360" w:lineRule="auto"/>
              <w:ind w:firstLine="420" w:firstLineChars="200"/>
              <w:rPr>
                <w:rFonts w:ascii="宋体" w:hAnsi="宋体" w:cs="宋体"/>
              </w:rPr>
            </w:pPr>
            <w:r>
              <w:rPr>
                <w:rFonts w:hint="eastAsia" w:ascii="宋体" w:hAnsi="宋体" w:cs="宋体"/>
              </w:rPr>
              <w:t>竞标文件格式上要求签字盖章的地方，必须签字盖章，否则按否决竞标处理。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szCs w:val="21"/>
              </w:rPr>
            </w:pPr>
            <w:r>
              <w:rPr>
                <w:rFonts w:hint="eastAsia" w:ascii="宋体" w:hAnsi="宋体" w:cs="宋体"/>
                <w:szCs w:val="21"/>
              </w:rPr>
              <w:t>第二章3.4</w:t>
            </w:r>
          </w:p>
        </w:tc>
        <w:tc>
          <w:tcPr>
            <w:tcW w:w="1124" w:type="dxa"/>
            <w:vAlign w:val="center"/>
          </w:tcPr>
          <w:p>
            <w:pPr>
              <w:jc w:val="center"/>
              <w:rPr>
                <w:rFonts w:ascii="宋体" w:hAnsi="宋体" w:cs="宋体"/>
                <w:szCs w:val="21"/>
              </w:rPr>
            </w:pPr>
            <w:r>
              <w:rPr>
                <w:rFonts w:hint="eastAsia" w:ascii="宋体" w:hAnsi="宋体"/>
                <w:kern w:val="0"/>
                <w:szCs w:val="21"/>
              </w:rPr>
              <w:t>竞标</w:t>
            </w:r>
            <w:r>
              <w:rPr>
                <w:rFonts w:hint="eastAsia" w:ascii="宋体" w:hAnsi="宋体" w:cs="宋体"/>
                <w:szCs w:val="21"/>
              </w:rPr>
              <w:t>保证金</w:t>
            </w:r>
          </w:p>
        </w:tc>
        <w:tc>
          <w:tcPr>
            <w:tcW w:w="6465" w:type="dxa"/>
          </w:tcPr>
          <w:p>
            <w:pPr>
              <w:autoSpaceDE w:val="0"/>
              <w:autoSpaceDN w:val="0"/>
              <w:adjustRightInd w:val="0"/>
              <w:spacing w:line="360" w:lineRule="auto"/>
              <w:ind w:firstLine="420" w:firstLineChars="200"/>
              <w:rPr>
                <w:rFonts w:ascii="宋体" w:hAnsi="宋体" w:cs="宋体"/>
              </w:rPr>
            </w:pPr>
            <w:r>
              <w:rPr>
                <w:rFonts w:hint="eastAsia" w:ascii="宋体" w:hAnsi="宋体" w:cs="宋体"/>
              </w:rPr>
              <w:t>竞标人不按本章第 3.4.1 项要求提交</w:t>
            </w:r>
            <w:r>
              <w:rPr>
                <w:rFonts w:hint="eastAsia" w:ascii="宋体" w:hAnsi="宋体"/>
                <w:kern w:val="0"/>
                <w:szCs w:val="21"/>
              </w:rPr>
              <w:t>竞标</w:t>
            </w:r>
            <w:r>
              <w:rPr>
                <w:rFonts w:hint="eastAsia" w:ascii="宋体" w:hAnsi="宋体" w:cs="宋体"/>
              </w:rPr>
              <w:t>保证金的，其竞标文件作否决竞标处理。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szCs w:val="21"/>
              </w:rPr>
            </w:pPr>
            <w:r>
              <w:rPr>
                <w:rFonts w:hint="eastAsia" w:ascii="宋体" w:hAnsi="宋体" w:cs="宋体"/>
                <w:szCs w:val="21"/>
              </w:rPr>
              <w:t>第三章3.1</w:t>
            </w:r>
          </w:p>
        </w:tc>
        <w:tc>
          <w:tcPr>
            <w:tcW w:w="1124" w:type="dxa"/>
            <w:vAlign w:val="center"/>
          </w:tcPr>
          <w:p>
            <w:pPr>
              <w:jc w:val="center"/>
              <w:rPr>
                <w:rFonts w:ascii="宋体" w:hAnsi="宋体" w:cs="宋体"/>
                <w:szCs w:val="21"/>
              </w:rPr>
            </w:pPr>
            <w:r>
              <w:rPr>
                <w:rFonts w:hint="eastAsia" w:ascii="宋体" w:hAnsi="宋体" w:cs="宋体"/>
                <w:szCs w:val="21"/>
              </w:rPr>
              <w:t>初步评审</w:t>
            </w:r>
          </w:p>
        </w:tc>
        <w:tc>
          <w:tcPr>
            <w:tcW w:w="6465" w:type="dxa"/>
          </w:tcPr>
          <w:p>
            <w:pPr>
              <w:autoSpaceDE w:val="0"/>
              <w:autoSpaceDN w:val="0"/>
              <w:adjustRightInd w:val="0"/>
              <w:spacing w:line="360" w:lineRule="auto"/>
              <w:ind w:firstLine="420" w:firstLineChars="200"/>
              <w:rPr>
                <w:rFonts w:ascii="宋体" w:hAnsi="宋体" w:cs="宋体"/>
              </w:rPr>
            </w:pPr>
            <w:r>
              <w:rPr>
                <w:rFonts w:hint="eastAsia" w:ascii="宋体" w:hAnsi="宋体" w:cs="宋体"/>
              </w:rPr>
              <w:t>竞标报价有算术错误的，评选委员会按以下原则对竞标报价进行修正，修正的价格经竞标人书面确认后具有约束力。竞标人不接受修正价格的，其竞标作否决竞标处理。</w:t>
            </w:r>
          </w:p>
          <w:p>
            <w:pPr>
              <w:autoSpaceDE w:val="0"/>
              <w:autoSpaceDN w:val="0"/>
              <w:adjustRightInd w:val="0"/>
              <w:spacing w:line="360" w:lineRule="auto"/>
              <w:ind w:firstLine="420" w:firstLineChars="200"/>
              <w:rPr>
                <w:rFonts w:ascii="宋体" w:hAnsi="宋体" w:cs="宋体"/>
              </w:rPr>
            </w:pPr>
            <w:r>
              <w:rPr>
                <w:rFonts w:hint="eastAsia" w:ascii="宋体" w:hAnsi="宋体" w:cs="宋体"/>
              </w:rPr>
              <w:t>（1）竞标文件中的大写金额与小写金额不一致的，以大写金额为准；</w:t>
            </w:r>
          </w:p>
          <w:p>
            <w:pPr>
              <w:autoSpaceDE w:val="0"/>
              <w:autoSpaceDN w:val="0"/>
              <w:adjustRightInd w:val="0"/>
              <w:spacing w:line="360" w:lineRule="auto"/>
              <w:ind w:firstLine="420" w:firstLineChars="200"/>
              <w:rPr>
                <w:rFonts w:ascii="宋体" w:hAnsi="宋体" w:cs="宋体"/>
              </w:rPr>
            </w:pPr>
            <w:r>
              <w:rPr>
                <w:rFonts w:hint="eastAsia" w:ascii="宋体" w:hAnsi="宋体" w:cs="宋体"/>
              </w:rPr>
              <w:t>（2）总价金额与依据单价计算出的结果不一致的，以单价金额为准修正总价，但单价金额小数点有明显错误的除外。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465" w:type="dxa"/>
            <w:gridSpan w:val="2"/>
            <w:vAlign w:val="center"/>
          </w:tcPr>
          <w:p>
            <w:pPr>
              <w:tabs>
                <w:tab w:val="left" w:pos="1050"/>
              </w:tabs>
              <w:ind w:firstLine="420" w:firstLineChars="200"/>
              <w:rPr>
                <w:rFonts w:ascii="宋体" w:hAnsi="宋体" w:cs="宋体"/>
                <w:kern w:val="0"/>
                <w:szCs w:val="21"/>
              </w:rPr>
            </w:pPr>
            <w:r>
              <w:rPr>
                <w:rFonts w:hint="eastAsia" w:ascii="宋体" w:hAnsi="宋体" w:cs="宋体"/>
                <w:kern w:val="0"/>
                <w:szCs w:val="21"/>
              </w:rPr>
              <w:t>其他情形</w:t>
            </w:r>
          </w:p>
        </w:tc>
        <w:tc>
          <w:tcPr>
            <w:tcW w:w="6465" w:type="dxa"/>
            <w:vAlign w:val="center"/>
          </w:tcPr>
          <w:p>
            <w:pPr>
              <w:tabs>
                <w:tab w:val="left" w:pos="1050"/>
              </w:tabs>
              <w:ind w:firstLine="420" w:firstLineChars="200"/>
              <w:rPr>
                <w:rFonts w:ascii="宋体" w:hAnsi="宋体" w:cs="宋体"/>
                <w:kern w:val="0"/>
                <w:szCs w:val="21"/>
              </w:rPr>
            </w:pPr>
            <w:r>
              <w:rPr>
                <w:rFonts w:hint="eastAsia" w:ascii="宋体" w:hAnsi="宋体" w:cs="宋体"/>
                <w:kern w:val="0"/>
                <w:szCs w:val="21"/>
              </w:rPr>
              <w:t>比选文件规定的其他情形。</w:t>
            </w:r>
          </w:p>
        </w:tc>
      </w:tr>
    </w:tbl>
    <w:p>
      <w:pPr>
        <w:rPr>
          <w:rFonts w:ascii="宋体" w:hAnsi="宋体"/>
        </w:rPr>
      </w:pPr>
    </w:p>
    <w:p>
      <w:pPr>
        <w:rPr>
          <w:rFonts w:ascii="宋体" w:hAnsi="宋体"/>
        </w:rPr>
      </w:pPr>
      <w:r>
        <w:rPr>
          <w:rFonts w:ascii="宋体" w:hAnsi="宋体"/>
        </w:rPr>
        <w:t xml:space="preserve"> </w:t>
      </w:r>
      <w:bookmarkEnd w:id="243"/>
    </w:p>
    <w:p>
      <w:pPr>
        <w:rPr>
          <w:rFonts w:ascii="宋体" w:hAnsi="宋体"/>
        </w:rPr>
      </w:pPr>
      <w:r>
        <w:rPr>
          <w:rFonts w:ascii="宋体" w:hAnsi="宋体"/>
        </w:rPr>
        <w:t xml:space="preserve"> </w:t>
      </w:r>
      <w:bookmarkStart w:id="306" w:name="BUSINESS_TYPE"/>
      <w:bookmarkEnd w:id="306"/>
      <w:r>
        <w:rPr>
          <w:rFonts w:ascii="宋体" w:hAnsi="宋体"/>
        </w:rPr>
        <w:t xml:space="preserve">   </w:t>
      </w:r>
      <w:bookmarkStart w:id="307" w:name="CALCL_RULE"/>
      <w:bookmarkEnd w:id="307"/>
      <w:r>
        <w:rPr>
          <w:rFonts w:ascii="宋体" w:hAnsi="宋体"/>
        </w:rPr>
        <w:t xml:space="preserve">    </w:t>
      </w:r>
      <w:bookmarkStart w:id="308" w:name="SUM_RULE_TECHNO"/>
      <w:bookmarkEnd w:id="308"/>
      <w:r>
        <w:rPr>
          <w:rFonts w:ascii="宋体" w:hAnsi="宋体"/>
        </w:rPr>
        <w:t xml:space="preserve"> </w:t>
      </w:r>
      <w:bookmarkEnd w:id="244"/>
      <w:r>
        <w:rPr>
          <w:rFonts w:ascii="宋体" w:hAnsi="宋体"/>
        </w:rPr>
        <w:t xml:space="preserve">    </w:t>
      </w:r>
    </w:p>
    <w:p>
      <w:pPr>
        <w:rPr>
          <w:rFonts w:ascii="宋体" w:hAnsi="宋体"/>
        </w:rPr>
      </w:pPr>
    </w:p>
    <w:p>
      <w:pPr>
        <w:pStyle w:val="4"/>
        <w:spacing w:before="0" w:after="0"/>
        <w:jc w:val="center"/>
        <w:rPr>
          <w:rFonts w:ascii="宋体" w:hAnsi="宋体"/>
        </w:rPr>
      </w:pPr>
      <w:r>
        <w:rPr>
          <w:rFonts w:ascii="宋体" w:hAnsi="宋体"/>
          <w:b w:val="0"/>
          <w:bCs w:val="0"/>
        </w:rPr>
        <w:br w:type="page"/>
      </w:r>
      <w:bookmarkStart w:id="309" w:name="_Toc54249504"/>
      <w:bookmarkStart w:id="310" w:name="_Toc423790623"/>
      <w:bookmarkStart w:id="311" w:name="_Toc488005257"/>
      <w:r>
        <w:rPr>
          <w:rFonts w:hint="eastAsia" w:ascii="宋体" w:hAnsi="宋体"/>
          <w:bCs w:val="0"/>
        </w:rPr>
        <w:t>第四章 合同条款及格式</w:t>
      </w:r>
      <w:bookmarkEnd w:id="309"/>
      <w:bookmarkEnd w:id="310"/>
      <w:bookmarkEnd w:id="311"/>
    </w:p>
    <w:p>
      <w:pPr>
        <w:pStyle w:val="129"/>
        <w:spacing w:line="660" w:lineRule="atLeast"/>
        <w:jc w:val="center"/>
        <w:rPr>
          <w:rFonts w:ascii="宋体" w:hAnsi="宋体"/>
          <w:sz w:val="44"/>
          <w:szCs w:val="44"/>
        </w:rPr>
      </w:pPr>
    </w:p>
    <w:p>
      <w:pPr>
        <w:pStyle w:val="129"/>
        <w:spacing w:line="660" w:lineRule="atLeast"/>
        <w:jc w:val="center"/>
        <w:rPr>
          <w:rFonts w:ascii="宋体" w:hAnsi="宋体"/>
          <w:sz w:val="44"/>
          <w:szCs w:val="44"/>
        </w:rPr>
      </w:pPr>
    </w:p>
    <w:p>
      <w:pPr>
        <w:pStyle w:val="129"/>
        <w:spacing w:line="660" w:lineRule="atLeast"/>
        <w:jc w:val="center"/>
        <w:rPr>
          <w:rFonts w:ascii="宋体" w:hAnsi="宋体"/>
          <w:sz w:val="44"/>
          <w:szCs w:val="44"/>
        </w:rPr>
      </w:pPr>
    </w:p>
    <w:p>
      <w:pPr>
        <w:spacing w:line="1200" w:lineRule="exact"/>
        <w:jc w:val="center"/>
        <w:rPr>
          <w:rFonts w:ascii="宋体" w:hAnsi="宋体"/>
          <w:b/>
          <w:sz w:val="84"/>
          <w:szCs w:val="84"/>
        </w:rPr>
      </w:pPr>
      <w:r>
        <w:rPr>
          <w:rFonts w:hint="eastAsia" w:ascii="宋体" w:hAnsi="宋体"/>
          <w:b/>
          <w:sz w:val="84"/>
          <w:szCs w:val="84"/>
        </w:rPr>
        <w:t>施  工  合  同</w:t>
      </w:r>
    </w:p>
    <w:p>
      <w:pPr>
        <w:spacing w:line="1200" w:lineRule="exact"/>
        <w:jc w:val="center"/>
        <w:rPr>
          <w:rFonts w:ascii="宋体" w:hAnsi="宋体"/>
          <w:b/>
          <w:sz w:val="84"/>
          <w:szCs w:val="84"/>
        </w:rPr>
      </w:pPr>
      <w:r>
        <w:rPr>
          <w:rFonts w:hint="eastAsia" w:ascii="宋体" w:hAnsi="宋体"/>
          <w:b/>
          <w:bCs/>
          <w:sz w:val="30"/>
          <w:szCs w:val="30"/>
        </w:rPr>
        <w:t xml:space="preserve"> （格式合同）</w:t>
      </w:r>
    </w:p>
    <w:p>
      <w:pPr>
        <w:pStyle w:val="129"/>
        <w:jc w:val="center"/>
        <w:rPr>
          <w:rFonts w:ascii="宋体" w:hAnsi="宋体"/>
          <w:sz w:val="28"/>
          <w:szCs w:val="28"/>
        </w:rPr>
      </w:pPr>
      <w:r>
        <w:rPr>
          <w:rFonts w:hint="eastAsia" w:ascii="宋体" w:hAnsi="宋体"/>
          <w:sz w:val="28"/>
          <w:szCs w:val="28"/>
        </w:rPr>
        <w:t xml:space="preserve"> </w:t>
      </w:r>
    </w:p>
    <w:p>
      <w:pPr>
        <w:pStyle w:val="129"/>
        <w:jc w:val="center"/>
        <w:rPr>
          <w:rFonts w:ascii="宋体" w:hAnsi="宋体"/>
          <w:sz w:val="28"/>
          <w:szCs w:val="28"/>
        </w:rPr>
      </w:pPr>
      <w:r>
        <w:rPr>
          <w:rFonts w:hint="eastAsia" w:ascii="宋体" w:hAnsi="宋体"/>
          <w:sz w:val="28"/>
          <w:szCs w:val="28"/>
        </w:rPr>
        <w:t xml:space="preserve"> </w:t>
      </w:r>
    </w:p>
    <w:p>
      <w:pPr>
        <w:pStyle w:val="129"/>
        <w:jc w:val="center"/>
        <w:rPr>
          <w:rFonts w:ascii="宋体" w:hAnsi="宋体"/>
          <w:sz w:val="28"/>
          <w:szCs w:val="28"/>
        </w:rPr>
      </w:pPr>
      <w:r>
        <w:rPr>
          <w:rFonts w:hint="eastAsia" w:ascii="宋体" w:hAnsi="宋体"/>
          <w:sz w:val="28"/>
          <w:szCs w:val="28"/>
        </w:rPr>
        <w:t xml:space="preserve"> </w:t>
      </w:r>
    </w:p>
    <w:p>
      <w:pPr>
        <w:pStyle w:val="129"/>
        <w:jc w:val="center"/>
        <w:rPr>
          <w:rFonts w:ascii="宋体" w:hAnsi="宋体"/>
          <w:sz w:val="28"/>
          <w:szCs w:val="28"/>
        </w:rPr>
      </w:pPr>
      <w:r>
        <w:rPr>
          <w:rFonts w:hint="eastAsia" w:ascii="宋体" w:hAnsi="宋体"/>
          <w:sz w:val="28"/>
          <w:szCs w:val="28"/>
        </w:rPr>
        <w:t xml:space="preserve"> </w:t>
      </w:r>
    </w:p>
    <w:p>
      <w:pPr>
        <w:spacing w:line="360" w:lineRule="auto"/>
        <w:ind w:firstLine="1108" w:firstLineChars="345"/>
        <w:rPr>
          <w:rFonts w:ascii="宋体" w:hAnsi="宋体"/>
          <w:b/>
          <w:sz w:val="32"/>
          <w:szCs w:val="32"/>
        </w:rPr>
      </w:pPr>
      <w:r>
        <w:rPr>
          <w:rFonts w:hint="eastAsia" w:ascii="宋体" w:hAnsi="宋体"/>
          <w:b/>
          <w:sz w:val="32"/>
          <w:szCs w:val="32"/>
        </w:rPr>
        <w:t>工程名称：</w:t>
      </w:r>
      <w:r>
        <w:rPr>
          <w:rFonts w:hint="eastAsia" w:ascii="宋体" w:hAnsi="宋体"/>
          <w:b/>
          <w:sz w:val="32"/>
          <w:szCs w:val="32"/>
          <w:u w:val="single"/>
        </w:rPr>
        <w:t xml:space="preserve">                    </w:t>
      </w:r>
    </w:p>
    <w:p>
      <w:pPr>
        <w:spacing w:line="360" w:lineRule="auto"/>
        <w:ind w:firstLine="1108" w:firstLineChars="345"/>
        <w:rPr>
          <w:rFonts w:ascii="宋体" w:hAnsi="宋体"/>
          <w:sz w:val="32"/>
          <w:szCs w:val="32"/>
        </w:rPr>
      </w:pPr>
      <w:r>
        <w:rPr>
          <w:rFonts w:hint="eastAsia" w:ascii="宋体" w:hAnsi="宋体"/>
          <w:b/>
          <w:sz w:val="32"/>
          <w:szCs w:val="32"/>
        </w:rPr>
        <w:t>工程地点：</w:t>
      </w:r>
      <w:r>
        <w:rPr>
          <w:rFonts w:hint="eastAsia" w:ascii="宋体" w:hAnsi="宋体"/>
          <w:b/>
          <w:sz w:val="32"/>
          <w:szCs w:val="32"/>
          <w:u w:val="single"/>
        </w:rPr>
        <w:t xml:space="preserve">                    </w:t>
      </w:r>
    </w:p>
    <w:p>
      <w:pPr>
        <w:spacing w:line="360" w:lineRule="auto"/>
        <w:ind w:firstLine="1108" w:firstLineChars="345"/>
        <w:rPr>
          <w:rFonts w:ascii="宋体" w:hAnsi="宋体"/>
          <w:b/>
          <w:sz w:val="32"/>
          <w:szCs w:val="32"/>
          <w:u w:val="single"/>
        </w:rPr>
      </w:pPr>
      <w:r>
        <w:rPr>
          <w:rFonts w:hint="eastAsia" w:ascii="宋体" w:hAnsi="宋体"/>
          <w:b/>
          <w:sz w:val="32"/>
          <w:szCs w:val="32"/>
        </w:rPr>
        <w:t>合同编号：</w:t>
      </w:r>
      <w:r>
        <w:rPr>
          <w:rFonts w:hint="eastAsia" w:ascii="宋体" w:hAnsi="宋体"/>
          <w:b/>
          <w:sz w:val="32"/>
          <w:szCs w:val="32"/>
          <w:u w:val="single"/>
        </w:rPr>
        <w:t xml:space="preserve">                    </w:t>
      </w:r>
    </w:p>
    <w:p>
      <w:pPr>
        <w:spacing w:line="360" w:lineRule="auto"/>
        <w:ind w:firstLine="1108" w:firstLineChars="345"/>
        <w:rPr>
          <w:rFonts w:ascii="宋体" w:hAnsi="宋体"/>
          <w:sz w:val="32"/>
          <w:szCs w:val="32"/>
        </w:rPr>
      </w:pPr>
      <w:r>
        <w:rPr>
          <w:rFonts w:hint="eastAsia" w:ascii="宋体" w:hAnsi="宋体"/>
          <w:b/>
          <w:sz w:val="32"/>
          <w:szCs w:val="32"/>
        </w:rPr>
        <w:t>发包单位：</w:t>
      </w:r>
      <w:r>
        <w:rPr>
          <w:rFonts w:hint="eastAsia" w:ascii="宋体" w:hAnsi="宋体"/>
          <w:b/>
          <w:sz w:val="32"/>
          <w:szCs w:val="32"/>
          <w:u w:val="single"/>
        </w:rPr>
        <w:t xml:space="preserve">                     </w:t>
      </w:r>
    </w:p>
    <w:p>
      <w:pPr>
        <w:pStyle w:val="129"/>
        <w:adjustRightInd w:val="0"/>
        <w:snapToGrid w:val="0"/>
        <w:spacing w:line="360" w:lineRule="auto"/>
        <w:rPr>
          <w:rFonts w:ascii="宋体" w:hAnsi="宋体"/>
          <w:b/>
          <w:bCs/>
          <w:sz w:val="28"/>
          <w:szCs w:val="28"/>
        </w:rPr>
      </w:pPr>
      <w:r>
        <w:rPr>
          <w:rFonts w:hint="eastAsia" w:ascii="宋体" w:hAnsi="宋体"/>
          <w:b/>
          <w:sz w:val="32"/>
          <w:szCs w:val="32"/>
        </w:rPr>
        <w:t xml:space="preserve">       施工单位：</w:t>
      </w:r>
      <w:r>
        <w:rPr>
          <w:rFonts w:hint="eastAsia" w:ascii="宋体" w:hAnsi="宋体"/>
          <w:b/>
          <w:sz w:val="32"/>
          <w:szCs w:val="32"/>
          <w:u w:val="single"/>
        </w:rPr>
        <w:t xml:space="preserve">                     </w:t>
      </w:r>
      <w:r>
        <w:rPr>
          <w:rFonts w:hint="eastAsia" w:ascii="宋体" w:hAnsi="宋体"/>
          <w:b/>
          <w:bCs/>
          <w:sz w:val="28"/>
          <w:szCs w:val="28"/>
        </w:rPr>
        <w:t xml:space="preserve">  </w:t>
      </w:r>
    </w:p>
    <w:p>
      <w:pPr>
        <w:pStyle w:val="129"/>
        <w:adjustRightInd w:val="0"/>
        <w:snapToGrid w:val="0"/>
        <w:spacing w:line="360" w:lineRule="auto"/>
        <w:jc w:val="center"/>
        <w:rPr>
          <w:rFonts w:ascii="宋体" w:hAnsi="宋体"/>
          <w:b/>
          <w:bCs/>
          <w:sz w:val="28"/>
          <w:szCs w:val="28"/>
        </w:rPr>
      </w:pPr>
      <w:r>
        <w:rPr>
          <w:rFonts w:hint="eastAsia" w:ascii="宋体" w:hAnsi="宋体"/>
          <w:b/>
          <w:bCs/>
          <w:sz w:val="28"/>
          <w:szCs w:val="28"/>
        </w:rPr>
        <w:t xml:space="preserve"> </w:t>
      </w:r>
    </w:p>
    <w:p>
      <w:pPr>
        <w:pStyle w:val="129"/>
        <w:adjustRightInd w:val="0"/>
        <w:snapToGrid w:val="0"/>
        <w:spacing w:line="360" w:lineRule="auto"/>
        <w:jc w:val="center"/>
        <w:rPr>
          <w:rFonts w:ascii="宋体" w:hAnsi="宋体"/>
          <w:b/>
          <w:bCs/>
          <w:sz w:val="28"/>
          <w:szCs w:val="28"/>
        </w:rPr>
      </w:pPr>
    </w:p>
    <w:p>
      <w:pPr>
        <w:jc w:val="center"/>
        <w:rPr>
          <w:rFonts w:ascii="宋体" w:hAnsi="宋体" w:cs="MingLiU"/>
          <w:szCs w:val="21"/>
        </w:rPr>
      </w:pPr>
      <w:r>
        <w:rPr>
          <w:rFonts w:ascii="宋体" w:hAnsi="宋体"/>
          <w:b/>
          <w:sz w:val="28"/>
          <w:szCs w:val="28"/>
        </w:rPr>
        <w:br w:type="page"/>
      </w:r>
      <w:bookmarkStart w:id="312" w:name="_Toc488005258"/>
      <w:bookmarkStart w:id="313" w:name="_Toc451342704"/>
    </w:p>
    <w:p>
      <w:pPr>
        <w:widowControl/>
        <w:spacing w:line="500" w:lineRule="exact"/>
        <w:jc w:val="center"/>
        <w:rPr>
          <w:rFonts w:ascii="宋体" w:hAnsi="宋体"/>
          <w:b/>
          <w:sz w:val="36"/>
          <w:szCs w:val="36"/>
        </w:rPr>
      </w:pPr>
      <w:bookmarkStart w:id="314" w:name="_Toc54249512"/>
      <w:r>
        <w:rPr>
          <w:rFonts w:hint="eastAsia" w:ascii="宋体" w:hAnsi="宋体"/>
          <w:b/>
          <w:sz w:val="36"/>
          <w:szCs w:val="36"/>
        </w:rPr>
        <w:t>第一部分</w:t>
      </w:r>
      <w:r>
        <w:rPr>
          <w:rFonts w:ascii="宋体" w:hAnsi="宋体"/>
          <w:b/>
          <w:sz w:val="36"/>
          <w:szCs w:val="36"/>
        </w:rPr>
        <w:t xml:space="preserve">  合同协议书</w:t>
      </w:r>
    </w:p>
    <w:p>
      <w:pPr>
        <w:widowControl/>
        <w:spacing w:line="400" w:lineRule="exact"/>
        <w:jc w:val="left"/>
        <w:rPr>
          <w:rFonts w:ascii="宋体" w:hAnsi="宋体"/>
          <w:b/>
          <w:szCs w:val="21"/>
        </w:rPr>
      </w:pPr>
    </w:p>
    <w:p>
      <w:pPr>
        <w:widowControl/>
        <w:spacing w:line="400" w:lineRule="exact"/>
        <w:jc w:val="left"/>
        <w:rPr>
          <w:rFonts w:ascii="宋体" w:hAnsi="宋体"/>
          <w:b/>
          <w:szCs w:val="21"/>
          <w:u w:val="single"/>
        </w:rPr>
      </w:pPr>
      <w:r>
        <w:rPr>
          <w:rFonts w:ascii="宋体" w:hAnsi="宋体"/>
          <w:b/>
          <w:szCs w:val="21"/>
        </w:rPr>
        <w:t>发包人（全称）：</w:t>
      </w:r>
      <w:r>
        <w:rPr>
          <w:rFonts w:hint="eastAsia" w:ascii="宋体" w:hAnsi="宋体"/>
          <w:szCs w:val="21"/>
          <w:u w:val="single"/>
        </w:rPr>
        <w:t>重庆两江</w:t>
      </w:r>
      <w:r>
        <w:rPr>
          <w:rFonts w:ascii="宋体" w:hAnsi="宋体"/>
          <w:szCs w:val="21"/>
          <w:u w:val="single"/>
        </w:rPr>
        <w:t>新区水土高新技术产业园建设投资有限公司</w:t>
      </w:r>
    </w:p>
    <w:p>
      <w:pPr>
        <w:widowControl/>
        <w:spacing w:line="400" w:lineRule="exact"/>
        <w:jc w:val="left"/>
        <w:rPr>
          <w:rFonts w:ascii="宋体" w:hAnsi="宋体"/>
          <w:b/>
          <w:szCs w:val="21"/>
          <w:u w:val="single"/>
        </w:rPr>
      </w:pPr>
      <w:r>
        <w:rPr>
          <w:rFonts w:ascii="宋体" w:hAnsi="宋体"/>
          <w:b/>
          <w:szCs w:val="21"/>
        </w:rPr>
        <w:t>承包人（全称）：</w:t>
      </w:r>
      <w:r>
        <w:rPr>
          <w:rFonts w:hint="eastAsia" w:ascii="宋体" w:hAnsi="宋体"/>
          <w:szCs w:val="21"/>
          <w:u w:val="single"/>
        </w:rPr>
        <w:t xml:space="preserve"> </w:t>
      </w:r>
      <w:r>
        <w:rPr>
          <w:rFonts w:ascii="宋体" w:hAnsi="宋体"/>
          <w:szCs w:val="21"/>
          <w:u w:val="single"/>
        </w:rPr>
        <w:t xml:space="preserve">                                             </w:t>
      </w:r>
    </w:p>
    <w:p>
      <w:pPr>
        <w:widowControl/>
        <w:spacing w:line="400" w:lineRule="exact"/>
        <w:ind w:firstLine="420" w:firstLineChars="200"/>
        <w:jc w:val="left"/>
        <w:rPr>
          <w:rFonts w:ascii="宋体" w:hAnsi="宋体"/>
          <w:szCs w:val="21"/>
        </w:rPr>
      </w:pPr>
      <w:r>
        <w:rPr>
          <w:rFonts w:hint="eastAsia" w:ascii="宋体" w:hAnsi="宋体"/>
          <w:szCs w:val="21"/>
        </w:rPr>
        <w:t>发包人</w:t>
      </w:r>
      <w:r>
        <w:rPr>
          <w:rFonts w:hint="eastAsia" w:ascii="宋体" w:hAnsi="宋体" w:cs="MingLiU"/>
          <w:snapToGrid w:val="0"/>
          <w:kern w:val="0"/>
          <w:szCs w:val="21"/>
        </w:rPr>
        <w:t>为实施（项目名称），已接受承包人的投标。 发包人和承包人</w:t>
      </w:r>
      <w:r>
        <w:rPr>
          <w:rFonts w:hint="eastAsia" w:ascii="宋体" w:hAnsi="宋体"/>
          <w:szCs w:val="21"/>
        </w:rPr>
        <w:t>根据《中华人民共和国合同法》、《中华人民共和国建筑法》及有关法律规定，遵循平等、自愿、公平和诚实信用的原则，就前述项目的施工及相关事项，经协商一致，达成如下协议：</w:t>
      </w:r>
    </w:p>
    <w:p>
      <w:pPr>
        <w:widowControl/>
        <w:autoSpaceDE w:val="0"/>
        <w:autoSpaceDN w:val="0"/>
        <w:adjustRightInd w:val="0"/>
        <w:spacing w:line="400" w:lineRule="exact"/>
        <w:outlineLvl w:val="3"/>
        <w:rPr>
          <w:rFonts w:ascii="宋体" w:hAnsi="宋体"/>
          <w:bCs/>
          <w:szCs w:val="21"/>
        </w:rPr>
      </w:pPr>
      <w:bookmarkStart w:id="315" w:name="_Toc351203481"/>
      <w:r>
        <w:rPr>
          <w:rFonts w:ascii="宋体" w:hAnsi="宋体"/>
          <w:bCs/>
          <w:szCs w:val="21"/>
        </w:rPr>
        <w:t>一、工程概况</w:t>
      </w:r>
      <w:bookmarkEnd w:id="315"/>
    </w:p>
    <w:p>
      <w:pPr>
        <w:widowControl/>
        <w:spacing w:line="400" w:lineRule="exact"/>
        <w:ind w:firstLine="411" w:firstLineChars="196"/>
        <w:jc w:val="left"/>
        <w:rPr>
          <w:rFonts w:ascii="宋体" w:hAnsi="宋体"/>
          <w:szCs w:val="21"/>
          <w:u w:val="single"/>
        </w:rPr>
      </w:pPr>
      <w:r>
        <w:rPr>
          <w:rFonts w:ascii="宋体" w:hAnsi="宋体"/>
          <w:bCs/>
          <w:szCs w:val="21"/>
        </w:rPr>
        <w:t>1.工程名称</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p>
    <w:p>
      <w:pPr>
        <w:widowControl/>
        <w:spacing w:line="400" w:lineRule="exact"/>
        <w:ind w:firstLine="411" w:firstLineChars="196"/>
        <w:jc w:val="left"/>
        <w:rPr>
          <w:rFonts w:ascii="宋体" w:hAnsi="宋体"/>
          <w:bCs/>
          <w:szCs w:val="21"/>
        </w:rPr>
      </w:pPr>
      <w:r>
        <w:rPr>
          <w:rFonts w:ascii="宋体" w:hAnsi="宋体"/>
          <w:bCs/>
          <w:szCs w:val="21"/>
        </w:rPr>
        <w:t>2.工程地点：</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p>
      <w:pPr>
        <w:widowControl/>
        <w:spacing w:line="400" w:lineRule="exact"/>
        <w:ind w:firstLine="411" w:firstLineChars="196"/>
        <w:jc w:val="left"/>
        <w:rPr>
          <w:rFonts w:ascii="宋体" w:hAnsi="宋体"/>
          <w:bCs/>
          <w:szCs w:val="21"/>
        </w:rPr>
      </w:pPr>
      <w:r>
        <w:rPr>
          <w:rFonts w:ascii="宋体" w:hAnsi="宋体"/>
          <w:bCs/>
          <w:szCs w:val="21"/>
        </w:rPr>
        <w:t>3.工程立项批准文号：</w:t>
      </w:r>
      <w:r>
        <w:rPr>
          <w:rFonts w:hint="eastAsia" w:ascii="宋体" w:hAnsi="宋体"/>
          <w:szCs w:val="21"/>
          <w:u w:val="single"/>
        </w:rPr>
        <w:t xml:space="preserve"> </w:t>
      </w:r>
      <w:r>
        <w:rPr>
          <w:rFonts w:ascii="宋体" w:hAnsi="宋体"/>
          <w:szCs w:val="21"/>
          <w:u w:val="single"/>
        </w:rPr>
        <w:t xml:space="preserve">             </w:t>
      </w:r>
      <w:r>
        <w:rPr>
          <w:rFonts w:ascii="宋体" w:hAnsi="宋体"/>
          <w:bCs/>
          <w:szCs w:val="21"/>
        </w:rPr>
        <w:t>。</w:t>
      </w:r>
    </w:p>
    <w:p>
      <w:pPr>
        <w:widowControl/>
        <w:spacing w:line="400" w:lineRule="exact"/>
        <w:ind w:firstLine="411" w:firstLineChars="196"/>
        <w:jc w:val="left"/>
        <w:rPr>
          <w:rFonts w:ascii="宋体" w:hAnsi="宋体"/>
          <w:bCs/>
          <w:szCs w:val="21"/>
        </w:rPr>
      </w:pPr>
      <w:r>
        <w:rPr>
          <w:rFonts w:ascii="宋体" w:hAnsi="宋体"/>
          <w:bCs/>
          <w:szCs w:val="21"/>
        </w:rPr>
        <w:t>4.资金来源：</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bCs/>
          <w:szCs w:val="21"/>
        </w:rPr>
        <w:t>。</w:t>
      </w:r>
    </w:p>
    <w:p>
      <w:pPr>
        <w:widowControl/>
        <w:spacing w:line="400" w:lineRule="exact"/>
        <w:ind w:firstLine="411" w:firstLineChars="196"/>
        <w:jc w:val="left"/>
        <w:rPr>
          <w:rFonts w:ascii="宋体" w:hAnsi="宋体"/>
          <w:bCs/>
          <w:szCs w:val="21"/>
        </w:rPr>
      </w:pPr>
      <w:r>
        <w:rPr>
          <w:rFonts w:hint="eastAsia" w:ascii="宋体" w:hAnsi="宋体"/>
          <w:bCs/>
          <w:szCs w:val="21"/>
        </w:rPr>
        <w:t>5.工程内容：</w:t>
      </w:r>
      <w:r>
        <w:rPr>
          <w:rFonts w:hint="eastAsia" w:ascii="宋体" w:hAnsi="宋体"/>
          <w:szCs w:val="21"/>
          <w:u w:val="single"/>
        </w:rPr>
        <w:t>施工图范围内的</w:t>
      </w:r>
      <w:r>
        <w:rPr>
          <w:rFonts w:ascii="宋体" w:hAnsi="宋体"/>
          <w:szCs w:val="21"/>
          <w:u w:val="single"/>
        </w:rPr>
        <w:t xml:space="preserve">         </w:t>
      </w:r>
      <w:r>
        <w:rPr>
          <w:rFonts w:hint="eastAsia" w:ascii="宋体" w:hAnsi="宋体"/>
          <w:szCs w:val="21"/>
          <w:u w:val="single"/>
        </w:rPr>
        <w:t>等工作内容，具体详见发包人提供的施工图和工程量清单</w:t>
      </w:r>
      <w:r>
        <w:rPr>
          <w:rFonts w:ascii="宋体" w:hAnsi="宋体"/>
          <w:bCs/>
          <w:szCs w:val="21"/>
        </w:rPr>
        <w:t>。</w:t>
      </w:r>
    </w:p>
    <w:p>
      <w:pPr>
        <w:widowControl/>
        <w:spacing w:line="400" w:lineRule="exact"/>
        <w:ind w:firstLine="411" w:firstLineChars="196"/>
        <w:jc w:val="left"/>
        <w:rPr>
          <w:rFonts w:ascii="宋体" w:hAnsi="宋体"/>
          <w:bCs/>
          <w:szCs w:val="21"/>
        </w:rPr>
      </w:pPr>
      <w:r>
        <w:rPr>
          <w:rFonts w:hint="eastAsia" w:ascii="宋体" w:hAnsi="宋体"/>
          <w:szCs w:val="21"/>
        </w:rPr>
        <w:t>6.</w:t>
      </w:r>
      <w:r>
        <w:rPr>
          <w:rFonts w:hint="eastAsia" w:ascii="宋体" w:hAnsi="宋体"/>
          <w:bCs/>
          <w:szCs w:val="21"/>
        </w:rPr>
        <w:t>工程规模：</w:t>
      </w:r>
      <w:r>
        <w:rPr>
          <w:rFonts w:ascii="宋体" w:hAnsi="宋体"/>
          <w:szCs w:val="21"/>
          <w:u w:val="single"/>
        </w:rPr>
        <w:t></w:t>
      </w:r>
      <w:r>
        <w:rPr>
          <w:rFonts w:hint="eastAsia" w:ascii="宋体" w:hAnsi="宋体"/>
          <w:szCs w:val="21"/>
          <w:u w:val="single"/>
        </w:rPr>
        <w:t>。</w:t>
      </w:r>
    </w:p>
    <w:p>
      <w:pPr>
        <w:widowControl/>
        <w:spacing w:line="400" w:lineRule="exact"/>
        <w:ind w:firstLine="411" w:firstLineChars="196"/>
        <w:jc w:val="left"/>
        <w:rPr>
          <w:rFonts w:ascii="宋体" w:hAnsi="宋体"/>
          <w:bCs/>
          <w:szCs w:val="21"/>
        </w:rPr>
      </w:pPr>
      <w:r>
        <w:rPr>
          <w:rFonts w:hint="eastAsia" w:ascii="宋体" w:hAnsi="宋体"/>
          <w:bCs/>
          <w:szCs w:val="21"/>
        </w:rPr>
        <w:t>7</w:t>
      </w:r>
      <w:r>
        <w:rPr>
          <w:rFonts w:ascii="宋体" w:hAnsi="宋体"/>
          <w:bCs/>
          <w:szCs w:val="21"/>
        </w:rPr>
        <w:t>.工程承包范围：</w:t>
      </w:r>
      <w:r>
        <w:rPr>
          <w:rFonts w:hint="eastAsia" w:ascii="宋体" w:hAnsi="宋体"/>
          <w:szCs w:val="21"/>
          <w:u w:val="single"/>
        </w:rPr>
        <w:t>施工图范围内的 工作内容，具体内容详见发包人提供的施工图、工程量清单及工程承包内容的其他文件</w:t>
      </w:r>
      <w:r>
        <w:rPr>
          <w:rFonts w:ascii="宋体" w:hAnsi="宋体"/>
          <w:szCs w:val="21"/>
          <w:u w:val="single"/>
        </w:rPr>
        <w:t>。</w:t>
      </w:r>
    </w:p>
    <w:p>
      <w:pPr>
        <w:widowControl/>
        <w:autoSpaceDE w:val="0"/>
        <w:autoSpaceDN w:val="0"/>
        <w:adjustRightInd w:val="0"/>
        <w:spacing w:line="400" w:lineRule="exact"/>
        <w:outlineLvl w:val="3"/>
        <w:rPr>
          <w:rFonts w:ascii="宋体" w:hAnsi="宋体"/>
          <w:bCs/>
          <w:szCs w:val="21"/>
        </w:rPr>
      </w:pPr>
      <w:bookmarkStart w:id="316" w:name="_Toc351203482"/>
      <w:r>
        <w:rPr>
          <w:rFonts w:ascii="宋体" w:hAnsi="宋体"/>
          <w:bCs/>
          <w:szCs w:val="21"/>
        </w:rPr>
        <w:t>二、合同工期</w:t>
      </w:r>
      <w:bookmarkEnd w:id="316"/>
    </w:p>
    <w:p>
      <w:pPr>
        <w:widowControl/>
        <w:spacing w:line="400" w:lineRule="exact"/>
        <w:ind w:firstLine="459"/>
        <w:jc w:val="left"/>
        <w:rPr>
          <w:rFonts w:ascii="宋体" w:hAnsi="宋体"/>
          <w:szCs w:val="21"/>
        </w:rPr>
      </w:pPr>
      <w:r>
        <w:rPr>
          <w:rFonts w:ascii="宋体" w:hAnsi="宋体"/>
          <w:szCs w:val="21"/>
        </w:rPr>
        <w:t>计划开工日期：</w:t>
      </w:r>
      <w:r>
        <w:rPr>
          <w:rFonts w:ascii="宋体" w:hAnsi="宋体"/>
          <w:szCs w:val="21"/>
          <w:u w:val="single"/>
        </w:rPr>
        <w:t> </w:t>
      </w:r>
      <w:r>
        <w:rPr>
          <w:rFonts w:ascii="宋体" w:hAnsi="宋体"/>
          <w:szCs w:val="21"/>
        </w:rPr>
        <w:t>年</w:t>
      </w:r>
      <w:r>
        <w:rPr>
          <w:rFonts w:ascii="宋体" w:hAnsi="宋体"/>
          <w:szCs w:val="21"/>
          <w:u w:val="single"/>
        </w:rPr>
        <w:t> </w:t>
      </w:r>
      <w:r>
        <w:rPr>
          <w:rFonts w:ascii="宋体" w:hAnsi="宋体"/>
          <w:szCs w:val="21"/>
        </w:rPr>
        <w:t>月</w:t>
      </w:r>
      <w:r>
        <w:rPr>
          <w:rFonts w:ascii="宋体" w:hAnsi="宋体"/>
          <w:szCs w:val="21"/>
          <w:u w:val="single"/>
        </w:rPr>
        <w:t> </w:t>
      </w:r>
      <w:r>
        <w:rPr>
          <w:rFonts w:ascii="宋体" w:hAnsi="宋体"/>
          <w:szCs w:val="21"/>
        </w:rPr>
        <w:t>日</w:t>
      </w:r>
      <w:r>
        <w:rPr>
          <w:rFonts w:hint="eastAsia" w:ascii="宋体" w:hAnsi="宋体"/>
          <w:szCs w:val="21"/>
        </w:rPr>
        <w:t>，实际</w:t>
      </w:r>
      <w:r>
        <w:rPr>
          <w:rFonts w:ascii="宋体" w:hAnsi="宋体"/>
          <w:szCs w:val="21"/>
        </w:rPr>
        <w:t>开工日期</w:t>
      </w:r>
      <w:r>
        <w:rPr>
          <w:rFonts w:hint="eastAsia" w:ascii="宋体" w:hAnsi="宋体"/>
          <w:szCs w:val="21"/>
        </w:rPr>
        <w:t>以</w:t>
      </w:r>
      <w:r>
        <w:rPr>
          <w:rFonts w:ascii="宋体" w:hAnsi="宋体"/>
          <w:szCs w:val="21"/>
        </w:rPr>
        <w:t>监理工程师签发的工程开工通知明确的开工日期为准。</w:t>
      </w:r>
    </w:p>
    <w:p>
      <w:pPr>
        <w:widowControl/>
        <w:spacing w:line="400" w:lineRule="exact"/>
        <w:ind w:firstLine="459"/>
        <w:jc w:val="left"/>
        <w:rPr>
          <w:rFonts w:ascii="宋体" w:hAnsi="宋体"/>
          <w:szCs w:val="21"/>
        </w:rPr>
      </w:pPr>
      <w:r>
        <w:rPr>
          <w:rFonts w:ascii="宋体" w:hAnsi="宋体"/>
          <w:szCs w:val="21"/>
        </w:rPr>
        <w:t>计划竣工日期：</w:t>
      </w:r>
      <w:r>
        <w:rPr>
          <w:rFonts w:ascii="宋体" w:hAnsi="宋体"/>
          <w:szCs w:val="21"/>
          <w:u w:val="single"/>
        </w:rPr>
        <w:t> </w:t>
      </w:r>
      <w:r>
        <w:rPr>
          <w:rFonts w:ascii="宋体" w:hAnsi="宋体"/>
          <w:szCs w:val="21"/>
        </w:rPr>
        <w:t>年</w:t>
      </w:r>
      <w:r>
        <w:rPr>
          <w:rFonts w:ascii="宋体" w:hAnsi="宋体"/>
          <w:szCs w:val="21"/>
          <w:u w:val="single"/>
        </w:rPr>
        <w:t> </w:t>
      </w:r>
      <w:r>
        <w:rPr>
          <w:rFonts w:ascii="宋体" w:hAnsi="宋体"/>
          <w:szCs w:val="21"/>
        </w:rPr>
        <w:t>月</w:t>
      </w:r>
      <w:r>
        <w:rPr>
          <w:rFonts w:ascii="宋体" w:hAnsi="宋体"/>
          <w:szCs w:val="21"/>
          <w:u w:val="single"/>
        </w:rPr>
        <w:t> </w:t>
      </w:r>
      <w:r>
        <w:rPr>
          <w:rFonts w:ascii="宋体" w:hAnsi="宋体"/>
          <w:szCs w:val="21"/>
        </w:rPr>
        <w:t>日</w:t>
      </w:r>
      <w:r>
        <w:rPr>
          <w:rFonts w:hint="eastAsia" w:ascii="宋体" w:hAnsi="宋体"/>
          <w:szCs w:val="21"/>
        </w:rPr>
        <w:t>，实际</w:t>
      </w:r>
      <w:r>
        <w:rPr>
          <w:rFonts w:ascii="宋体" w:hAnsi="宋体"/>
          <w:szCs w:val="21"/>
        </w:rPr>
        <w:t>竣工日期以工程竣工验收合格之日为准</w:t>
      </w:r>
    </w:p>
    <w:p>
      <w:pPr>
        <w:widowControl/>
        <w:spacing w:line="400" w:lineRule="exact"/>
        <w:ind w:firstLine="459"/>
        <w:jc w:val="left"/>
        <w:rPr>
          <w:szCs w:val="21"/>
        </w:rPr>
      </w:pPr>
      <w:r>
        <w:rPr>
          <w:rFonts w:hint="eastAsia" w:ascii="宋体" w:hAnsi="宋体"/>
          <w:szCs w:val="21"/>
        </w:rPr>
        <w:t>合同</w:t>
      </w:r>
      <w:r>
        <w:rPr>
          <w:rFonts w:ascii="宋体" w:hAnsi="宋体"/>
          <w:szCs w:val="21"/>
        </w:rPr>
        <w:t>工期：</w:t>
      </w:r>
      <w:r>
        <w:rPr>
          <w:rFonts w:hint="eastAsia" w:ascii="宋体" w:hAnsi="宋体"/>
          <w:szCs w:val="21"/>
        </w:rPr>
        <w:t>日历</w:t>
      </w:r>
      <w:r>
        <w:rPr>
          <w:rFonts w:ascii="宋体" w:hAnsi="宋体"/>
          <w:szCs w:val="21"/>
        </w:rPr>
        <w:t>天</w:t>
      </w:r>
      <w:r>
        <w:rPr>
          <w:rFonts w:hint="eastAsia" w:ascii="宋体" w:hAnsi="宋体"/>
          <w:szCs w:val="21"/>
        </w:rPr>
        <w:t>，</w:t>
      </w:r>
      <w:r>
        <w:rPr>
          <w:rFonts w:hint="eastAsia"/>
          <w:szCs w:val="21"/>
        </w:rPr>
        <w:t>实际工期的计算方式为：以监理工程师</w:t>
      </w:r>
      <w:r>
        <w:rPr>
          <w:szCs w:val="21"/>
        </w:rPr>
        <w:t>签发的工程开工通知明确的开工日期</w:t>
      </w:r>
      <w:r>
        <w:rPr>
          <w:rFonts w:hint="eastAsia"/>
          <w:szCs w:val="21"/>
        </w:rPr>
        <w:t>起至工程通过发包人组织的竣工验收合格之日止，如因发包人原因无法进行竣工验收的，实际工期计算方式为：以监理工程师</w:t>
      </w:r>
      <w:r>
        <w:rPr>
          <w:szCs w:val="21"/>
        </w:rPr>
        <w:t>签发的工程开工通知明确的开工日期</w:t>
      </w:r>
      <w:r>
        <w:rPr>
          <w:rFonts w:hint="eastAsia"/>
          <w:szCs w:val="21"/>
        </w:rPr>
        <w:t>起至工程通过发包人组织的完工验收合格之日止。</w:t>
      </w:r>
    </w:p>
    <w:p>
      <w:pPr>
        <w:widowControl/>
        <w:spacing w:line="400" w:lineRule="exact"/>
        <w:jc w:val="left"/>
        <w:rPr>
          <w:rFonts w:ascii="宋体" w:hAnsi="宋体"/>
          <w:szCs w:val="21"/>
        </w:rPr>
      </w:pPr>
      <w:bookmarkStart w:id="317" w:name="_Toc351203483"/>
      <w:r>
        <w:rPr>
          <w:rFonts w:ascii="宋体" w:hAnsi="宋体"/>
          <w:szCs w:val="21"/>
        </w:rPr>
        <w:t>三、质量标准</w:t>
      </w:r>
      <w:bookmarkEnd w:id="317"/>
    </w:p>
    <w:p>
      <w:pPr>
        <w:widowControl/>
        <w:spacing w:line="400" w:lineRule="exact"/>
        <w:ind w:firstLine="459"/>
        <w:jc w:val="left"/>
        <w:rPr>
          <w:rFonts w:ascii="宋体" w:hAnsi="宋体"/>
          <w:szCs w:val="21"/>
        </w:rPr>
      </w:pPr>
      <w:r>
        <w:rPr>
          <w:rFonts w:ascii="宋体" w:hAnsi="宋体"/>
          <w:szCs w:val="21"/>
        </w:rPr>
        <w:t>工程质量</w:t>
      </w:r>
      <w:r>
        <w:rPr>
          <w:rFonts w:hint="eastAsia" w:ascii="宋体" w:hAnsi="宋体"/>
          <w:szCs w:val="21"/>
        </w:rPr>
        <w:t>达到国家现行相关施工质量验收规范和本工程设计文件的要求，并一次性验收合格。</w:t>
      </w:r>
    </w:p>
    <w:p>
      <w:pPr>
        <w:widowControl/>
        <w:spacing w:line="400" w:lineRule="exact"/>
        <w:jc w:val="left"/>
        <w:rPr>
          <w:rFonts w:ascii="宋体" w:hAnsi="宋体"/>
          <w:bCs/>
          <w:szCs w:val="21"/>
        </w:rPr>
      </w:pPr>
      <w:bookmarkStart w:id="318" w:name="_Toc351203484"/>
      <w:r>
        <w:rPr>
          <w:rFonts w:ascii="宋体" w:hAnsi="宋体"/>
          <w:szCs w:val="21"/>
        </w:rPr>
        <w:t>四、签约合同价与合同价格形式</w:t>
      </w:r>
      <w:bookmarkEnd w:id="318"/>
      <w:r>
        <w:rPr>
          <w:rFonts w:ascii="宋体" w:hAnsi="宋体"/>
          <w:szCs w:val="21"/>
        </w:rPr>
        <w:tab/>
      </w:r>
    </w:p>
    <w:p>
      <w:pPr>
        <w:widowControl/>
        <w:spacing w:line="400" w:lineRule="exact"/>
        <w:ind w:firstLine="420" w:firstLineChars="200"/>
        <w:jc w:val="left"/>
        <w:rPr>
          <w:rFonts w:ascii="宋体" w:hAnsi="宋体"/>
          <w:szCs w:val="21"/>
        </w:rPr>
      </w:pPr>
      <w:r>
        <w:rPr>
          <w:rFonts w:ascii="宋体" w:hAnsi="宋体"/>
          <w:szCs w:val="21"/>
        </w:rPr>
        <w:t>1.签约合同价</w:t>
      </w:r>
      <w:r>
        <w:rPr>
          <w:rFonts w:hint="eastAsia" w:ascii="宋体" w:hAnsi="宋体"/>
          <w:szCs w:val="21"/>
        </w:rPr>
        <w:t>（暂定）</w:t>
      </w:r>
      <w:r>
        <w:rPr>
          <w:rFonts w:ascii="宋体" w:hAnsi="宋体"/>
          <w:szCs w:val="21"/>
        </w:rPr>
        <w:t>为：</w:t>
      </w:r>
      <w:r>
        <w:rPr>
          <w:rFonts w:hint="eastAsia" w:ascii="宋体" w:hAnsi="宋体"/>
          <w:szCs w:val="21"/>
          <w:u w:val="single"/>
        </w:rPr>
        <w:t xml:space="preserve"> </w:t>
      </w:r>
      <w:r>
        <w:rPr>
          <w:rFonts w:ascii="宋体" w:hAnsi="宋体"/>
          <w:szCs w:val="21"/>
          <w:u w:val="single"/>
        </w:rPr>
        <w:t xml:space="preserve">             </w:t>
      </w:r>
    </w:p>
    <w:p>
      <w:pPr>
        <w:widowControl/>
        <w:spacing w:line="400" w:lineRule="exact"/>
        <w:ind w:firstLine="525" w:firstLineChars="250"/>
        <w:jc w:val="left"/>
        <w:rPr>
          <w:rFonts w:ascii="宋体" w:hAnsi="宋体"/>
          <w:szCs w:val="21"/>
        </w:rPr>
      </w:pPr>
      <w:r>
        <w:rPr>
          <w:rFonts w:ascii="宋体" w:hAnsi="宋体"/>
          <w:szCs w:val="21"/>
        </w:rPr>
        <w:t>人民币（大写）(¥元)；</w:t>
      </w:r>
      <w:r>
        <w:rPr>
          <w:rFonts w:hint="eastAsia" w:ascii="宋体" w:hAnsi="宋体"/>
          <w:szCs w:val="21"/>
          <w:u w:val="single"/>
        </w:rPr>
        <w:t xml:space="preserve"> </w:t>
      </w:r>
      <w:r>
        <w:rPr>
          <w:rFonts w:ascii="宋体" w:hAnsi="宋体"/>
          <w:szCs w:val="21"/>
          <w:u w:val="single"/>
        </w:rPr>
        <w:t xml:space="preserve">             </w:t>
      </w:r>
    </w:p>
    <w:p>
      <w:pPr>
        <w:widowControl/>
        <w:spacing w:line="400" w:lineRule="exact"/>
        <w:ind w:firstLine="420" w:firstLineChars="200"/>
        <w:jc w:val="left"/>
        <w:rPr>
          <w:rFonts w:ascii="宋体" w:hAnsi="宋体"/>
          <w:szCs w:val="21"/>
        </w:rPr>
      </w:pPr>
      <w:r>
        <w:rPr>
          <w:rFonts w:ascii="宋体" w:hAnsi="宋体"/>
          <w:szCs w:val="21"/>
        </w:rPr>
        <w:t>其中：</w:t>
      </w:r>
    </w:p>
    <w:p>
      <w:pPr>
        <w:widowControl/>
        <w:spacing w:line="400" w:lineRule="exact"/>
        <w:ind w:firstLine="420" w:firstLineChars="200"/>
        <w:jc w:val="left"/>
        <w:rPr>
          <w:rFonts w:ascii="宋体" w:hAnsi="宋体"/>
          <w:szCs w:val="21"/>
        </w:rPr>
      </w:pPr>
      <w:r>
        <w:rPr>
          <w:rFonts w:ascii="宋体" w:hAnsi="宋体"/>
          <w:szCs w:val="21"/>
        </w:rPr>
        <w:t>（1）安全文明施工费：</w:t>
      </w:r>
      <w:r>
        <w:rPr>
          <w:rFonts w:hint="eastAsia" w:ascii="宋体" w:hAnsi="宋体"/>
          <w:szCs w:val="21"/>
          <w:u w:val="single"/>
        </w:rPr>
        <w:t xml:space="preserve"> </w:t>
      </w:r>
      <w:r>
        <w:rPr>
          <w:rFonts w:ascii="宋体" w:hAnsi="宋体"/>
          <w:szCs w:val="21"/>
          <w:u w:val="single"/>
        </w:rPr>
        <w:t xml:space="preserve">             </w:t>
      </w:r>
    </w:p>
    <w:p>
      <w:pPr>
        <w:widowControl/>
        <w:spacing w:line="400" w:lineRule="exact"/>
        <w:ind w:firstLine="420" w:firstLineChars="200"/>
        <w:jc w:val="left"/>
        <w:rPr>
          <w:rFonts w:ascii="宋体" w:hAnsi="宋体"/>
          <w:szCs w:val="21"/>
        </w:rPr>
      </w:pPr>
      <w:r>
        <w:rPr>
          <w:rFonts w:ascii="宋体" w:hAnsi="宋体"/>
          <w:szCs w:val="21"/>
        </w:rPr>
        <w:t>人民币（大写）(¥元)；</w:t>
      </w:r>
      <w:r>
        <w:rPr>
          <w:rFonts w:hint="eastAsia" w:ascii="宋体" w:hAnsi="宋体"/>
          <w:szCs w:val="21"/>
          <w:u w:val="single"/>
        </w:rPr>
        <w:t xml:space="preserve"> </w:t>
      </w:r>
      <w:r>
        <w:rPr>
          <w:rFonts w:ascii="宋体" w:hAnsi="宋体"/>
          <w:szCs w:val="21"/>
          <w:u w:val="single"/>
        </w:rPr>
        <w:t xml:space="preserve">             </w:t>
      </w:r>
    </w:p>
    <w:p>
      <w:pPr>
        <w:widowControl/>
        <w:spacing w:line="400" w:lineRule="exact"/>
        <w:ind w:firstLine="420" w:firstLineChars="200"/>
        <w:jc w:val="left"/>
        <w:rPr>
          <w:rFonts w:ascii="宋体" w:hAnsi="宋体"/>
          <w:szCs w:val="21"/>
        </w:rPr>
      </w:pPr>
      <w:r>
        <w:rPr>
          <w:rFonts w:ascii="宋体" w:hAnsi="宋体"/>
          <w:szCs w:val="21"/>
        </w:rPr>
        <w:t>（2）材料和工程设备暂估价金额：</w:t>
      </w:r>
    </w:p>
    <w:p>
      <w:pPr>
        <w:widowControl/>
        <w:spacing w:line="400" w:lineRule="exact"/>
        <w:ind w:firstLine="945" w:firstLineChars="450"/>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pPr>
        <w:widowControl/>
        <w:spacing w:line="400" w:lineRule="exact"/>
        <w:ind w:firstLine="420" w:firstLineChars="200"/>
        <w:jc w:val="left"/>
        <w:rPr>
          <w:rFonts w:ascii="宋体" w:hAnsi="宋体"/>
          <w:szCs w:val="21"/>
        </w:rPr>
      </w:pPr>
      <w:r>
        <w:rPr>
          <w:rFonts w:ascii="宋体" w:hAnsi="宋体"/>
          <w:szCs w:val="21"/>
        </w:rPr>
        <w:t>（3）专业工程暂估价金额：</w:t>
      </w:r>
    </w:p>
    <w:p>
      <w:pPr>
        <w:widowControl/>
        <w:spacing w:line="400" w:lineRule="exact"/>
        <w:ind w:firstLine="945" w:firstLineChars="450"/>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pPr>
        <w:widowControl/>
        <w:spacing w:line="400" w:lineRule="exact"/>
        <w:ind w:firstLine="420" w:firstLineChars="200"/>
        <w:jc w:val="left"/>
        <w:rPr>
          <w:rFonts w:ascii="宋体" w:hAnsi="宋体"/>
          <w:szCs w:val="21"/>
        </w:rPr>
      </w:pPr>
      <w:r>
        <w:rPr>
          <w:rFonts w:ascii="宋体" w:hAnsi="宋体"/>
          <w:szCs w:val="21"/>
        </w:rPr>
        <w:t>（4）暂列金额：</w:t>
      </w:r>
    </w:p>
    <w:p>
      <w:pPr>
        <w:widowControl/>
        <w:spacing w:line="400" w:lineRule="exact"/>
        <w:ind w:firstLine="945" w:firstLineChars="450"/>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pPr>
        <w:widowControl/>
        <w:numPr>
          <w:ilvl w:val="0"/>
          <w:numId w:val="3"/>
        </w:numPr>
        <w:spacing w:line="400" w:lineRule="exact"/>
        <w:ind w:firstLine="420" w:firstLineChars="200"/>
        <w:jc w:val="left"/>
        <w:rPr>
          <w:rFonts w:ascii="宋体" w:hAnsi="宋体"/>
          <w:szCs w:val="21"/>
        </w:rPr>
      </w:pPr>
      <w:r>
        <w:rPr>
          <w:rFonts w:ascii="宋体" w:hAnsi="宋体"/>
          <w:szCs w:val="21"/>
        </w:rPr>
        <w:t>合同价格形式：</w:t>
      </w:r>
      <w:sdt>
        <w:sdtPr>
          <w:rPr>
            <w:rFonts w:ascii="宋体" w:hAnsi="宋体"/>
            <w:szCs w:val="21"/>
          </w:rPr>
          <w:id w:val="286092287"/>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szCs w:val="21"/>
        </w:rPr>
        <w:t>固定</w:t>
      </w:r>
      <w:r>
        <w:rPr>
          <w:rFonts w:ascii="宋体" w:hAnsi="宋体"/>
          <w:szCs w:val="21"/>
        </w:rPr>
        <w:t>单价</w:t>
      </w:r>
      <w:r>
        <w:rPr>
          <w:rFonts w:hint="eastAsia" w:ascii="宋体" w:hAnsi="宋体"/>
          <w:szCs w:val="21"/>
        </w:rPr>
        <w:t xml:space="preserve">  </w:t>
      </w:r>
      <w:sdt>
        <w:sdtPr>
          <w:rPr>
            <w:rFonts w:hint="eastAsia" w:ascii="宋体" w:hAnsi="宋体"/>
            <w:szCs w:val="21"/>
          </w:rPr>
          <w:id w:val="-1501043351"/>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szCs w:val="21"/>
        </w:rPr>
        <w:t>固定</w:t>
      </w:r>
      <w:r>
        <w:rPr>
          <w:rFonts w:ascii="宋体" w:hAnsi="宋体"/>
          <w:szCs w:val="21"/>
        </w:rPr>
        <w:t>总价</w:t>
      </w:r>
    </w:p>
    <w:p>
      <w:pPr>
        <w:widowControl/>
        <w:numPr>
          <w:ilvl w:val="0"/>
          <w:numId w:val="3"/>
        </w:numPr>
        <w:spacing w:line="400" w:lineRule="exact"/>
        <w:ind w:firstLine="420" w:firstLineChars="200"/>
        <w:jc w:val="left"/>
        <w:rPr>
          <w:rFonts w:ascii="宋体" w:hAnsi="宋体"/>
          <w:szCs w:val="21"/>
        </w:rPr>
      </w:pPr>
      <w:r>
        <w:rPr>
          <w:rFonts w:hint="eastAsia" w:ascii="宋体" w:hAnsi="宋体"/>
          <w:szCs w:val="21"/>
        </w:rPr>
        <w:t>合同最终价款按照专用合同条款规定的计价方式、结算原则及结算审计等确定的金额为准。</w:t>
      </w:r>
    </w:p>
    <w:p>
      <w:pPr>
        <w:widowControl/>
        <w:autoSpaceDE w:val="0"/>
        <w:autoSpaceDN w:val="0"/>
        <w:adjustRightInd w:val="0"/>
        <w:spacing w:line="400" w:lineRule="exact"/>
        <w:outlineLvl w:val="3"/>
        <w:rPr>
          <w:rFonts w:ascii="宋体" w:hAnsi="宋体"/>
          <w:szCs w:val="21"/>
        </w:rPr>
      </w:pPr>
      <w:bookmarkStart w:id="319" w:name="_Toc351203485"/>
      <w:r>
        <w:rPr>
          <w:rFonts w:ascii="宋体" w:hAnsi="宋体"/>
          <w:szCs w:val="21"/>
        </w:rPr>
        <w:t>五、</w:t>
      </w:r>
      <w:bookmarkEnd w:id="319"/>
      <w:r>
        <w:rPr>
          <w:rFonts w:ascii="宋体" w:hAnsi="宋体"/>
          <w:szCs w:val="21"/>
        </w:rPr>
        <w:t>项目经理</w:t>
      </w:r>
    </w:p>
    <w:p>
      <w:pPr>
        <w:widowControl/>
        <w:spacing w:line="400" w:lineRule="exact"/>
        <w:ind w:firstLine="420" w:firstLineChars="200"/>
        <w:jc w:val="left"/>
        <w:rPr>
          <w:rFonts w:ascii="宋体" w:hAnsi="宋体"/>
          <w:szCs w:val="21"/>
        </w:rPr>
      </w:pPr>
      <w:r>
        <w:rPr>
          <w:rFonts w:ascii="宋体" w:hAnsi="宋体"/>
          <w:szCs w:val="21"/>
        </w:rPr>
        <w:t>承包人项目经理：</w:t>
      </w:r>
      <w:r>
        <w:rPr>
          <w:rFonts w:ascii="宋体" w:hAnsi="宋体"/>
          <w:szCs w:val="21"/>
          <w:u w:val="single"/>
        </w:rPr>
        <w:t xml:space="preserve">      </w:t>
      </w:r>
      <w:r>
        <w:rPr>
          <w:rFonts w:ascii="宋体" w:hAnsi="宋体"/>
          <w:szCs w:val="21"/>
        </w:rPr>
        <w:t>。</w:t>
      </w:r>
    </w:p>
    <w:p>
      <w:pPr>
        <w:widowControl/>
        <w:autoSpaceDE w:val="0"/>
        <w:autoSpaceDN w:val="0"/>
        <w:adjustRightInd w:val="0"/>
        <w:spacing w:line="400" w:lineRule="exact"/>
        <w:outlineLvl w:val="3"/>
        <w:rPr>
          <w:rFonts w:ascii="宋体" w:hAnsi="宋体"/>
          <w:szCs w:val="21"/>
        </w:rPr>
      </w:pPr>
      <w:bookmarkStart w:id="320" w:name="_Toc351203486"/>
      <w:r>
        <w:rPr>
          <w:rFonts w:ascii="宋体" w:hAnsi="宋体"/>
          <w:szCs w:val="21"/>
        </w:rPr>
        <w:t>六、合同文件构成</w:t>
      </w:r>
      <w:bookmarkEnd w:id="320"/>
    </w:p>
    <w:p>
      <w:pPr>
        <w:widowControl/>
        <w:autoSpaceDE w:val="0"/>
        <w:autoSpaceDN w:val="0"/>
        <w:adjustRightInd w:val="0"/>
        <w:spacing w:line="400" w:lineRule="exact"/>
        <w:ind w:firstLine="420" w:firstLineChars="200"/>
        <w:jc w:val="left"/>
        <w:rPr>
          <w:rFonts w:ascii="宋体" w:hAnsi="宋体"/>
          <w:szCs w:val="21"/>
        </w:rPr>
      </w:pPr>
      <w:bookmarkStart w:id="321" w:name="_Toc351203487"/>
      <w:r>
        <w:rPr>
          <w:rFonts w:ascii="宋体" w:hAnsi="宋体"/>
          <w:szCs w:val="21"/>
        </w:rPr>
        <w:t>（1）</w:t>
      </w:r>
      <w:r>
        <w:rPr>
          <w:rFonts w:hint="eastAsia" w:ascii="宋体" w:hAnsi="宋体"/>
          <w:szCs w:val="21"/>
        </w:rPr>
        <w:t>合同</w:t>
      </w:r>
      <w:r>
        <w:rPr>
          <w:rFonts w:ascii="宋体" w:hAnsi="宋体"/>
          <w:szCs w:val="21"/>
        </w:rPr>
        <w:t>协议书；</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（2）中标通知书；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（3）投标函及其附录；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（4）专用合同条款及其附件；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（5）通用合同条款；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（6）</w:t>
      </w:r>
      <w:r>
        <w:rPr>
          <w:rFonts w:hint="eastAsia" w:ascii="宋体" w:hAnsi="宋体"/>
          <w:szCs w:val="21"/>
        </w:rPr>
        <w:t>比选文件</w:t>
      </w:r>
      <w:r>
        <w:rPr>
          <w:rFonts w:ascii="宋体" w:hAnsi="宋体"/>
          <w:szCs w:val="21"/>
        </w:rPr>
        <w:t>；</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（7）</w:t>
      </w:r>
      <w:r>
        <w:rPr>
          <w:rFonts w:hint="eastAsia" w:ascii="宋体" w:hAnsi="宋体"/>
          <w:szCs w:val="21"/>
        </w:rPr>
        <w:t>投标文件</w:t>
      </w:r>
      <w:r>
        <w:rPr>
          <w:rFonts w:ascii="宋体" w:hAnsi="宋体"/>
          <w:szCs w:val="21"/>
        </w:rPr>
        <w:t>；</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（8）技术标准和要求；</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（九）</w:t>
      </w:r>
      <w:r>
        <w:rPr>
          <w:rFonts w:ascii="宋体" w:hAnsi="宋体"/>
          <w:szCs w:val="21"/>
        </w:rPr>
        <w:t>图纸；</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（十）</w:t>
      </w:r>
      <w:r>
        <w:rPr>
          <w:rFonts w:ascii="宋体" w:hAnsi="宋体"/>
          <w:szCs w:val="21"/>
        </w:rPr>
        <w:t>已标价工程量清单</w:t>
      </w:r>
      <w:r>
        <w:rPr>
          <w:rFonts w:hint="eastAsia" w:ascii="宋体" w:hAnsi="宋体"/>
          <w:szCs w:val="21"/>
        </w:rPr>
        <w:t>；</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（十一）</w:t>
      </w:r>
      <w:r>
        <w:rPr>
          <w:rFonts w:ascii="宋体" w:hAnsi="宋体"/>
          <w:szCs w:val="21"/>
        </w:rPr>
        <w:t>其他合同文件。</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（十二）</w:t>
      </w:r>
      <w:r>
        <w:rPr>
          <w:rFonts w:ascii="宋体" w:hAnsi="宋体"/>
          <w:szCs w:val="21"/>
        </w:rPr>
        <w:t>在合同订立及履行过程中形成的与合同有关的文件。</w:t>
      </w:r>
    </w:p>
    <w:p>
      <w:pPr>
        <w:widowControl/>
        <w:autoSpaceDE w:val="0"/>
        <w:autoSpaceDN w:val="0"/>
        <w:adjustRightInd w:val="0"/>
        <w:spacing w:line="400" w:lineRule="exact"/>
        <w:ind w:firstLine="630" w:firstLineChars="300"/>
        <w:outlineLvl w:val="3"/>
        <w:rPr>
          <w:rFonts w:ascii="宋体" w:hAnsi="宋体"/>
          <w:szCs w:val="21"/>
        </w:rPr>
      </w:pPr>
      <w:r>
        <w:rPr>
          <w:rFonts w:ascii="宋体" w:hAnsi="宋体"/>
          <w:szCs w:val="21"/>
        </w:rPr>
        <w:t>七、承诺</w:t>
      </w:r>
      <w:bookmarkEnd w:id="321"/>
    </w:p>
    <w:p>
      <w:pPr>
        <w:widowControl/>
        <w:spacing w:line="400" w:lineRule="exact"/>
        <w:ind w:firstLine="420" w:firstLineChars="200"/>
        <w:jc w:val="left"/>
        <w:rPr>
          <w:rFonts w:ascii="宋体" w:hAnsi="宋体"/>
          <w:bCs/>
          <w:szCs w:val="21"/>
        </w:rPr>
      </w:pPr>
      <w:r>
        <w:rPr>
          <w:rFonts w:ascii="宋体" w:hAnsi="宋体"/>
          <w:bCs/>
          <w:szCs w:val="21"/>
        </w:rPr>
        <w:t>1.发包人承诺按照法律规定履行项目审批手续、筹集工程建设资金并按照合同约定的期限和方式支付合同价款。</w:t>
      </w:r>
    </w:p>
    <w:p>
      <w:pPr>
        <w:widowControl/>
        <w:spacing w:line="400" w:lineRule="exact"/>
        <w:ind w:firstLine="420" w:firstLineChars="200"/>
        <w:jc w:val="left"/>
        <w:rPr>
          <w:rFonts w:ascii="宋体" w:hAnsi="宋体"/>
          <w:bCs/>
          <w:szCs w:val="21"/>
        </w:rPr>
      </w:pPr>
      <w:r>
        <w:rPr>
          <w:rFonts w:ascii="宋体" w:hAnsi="宋体"/>
          <w:bCs/>
          <w:szCs w:val="21"/>
        </w:rPr>
        <w:t>2.承包人承诺按照法律规定及合同约定组织完成工程施工，确保工程质量和安全，不转包及违法分包，并在缺陷责任期及保修期内承担</w:t>
      </w:r>
      <w:r>
        <w:rPr>
          <w:rFonts w:hint="eastAsia" w:ascii="宋体" w:hAnsi="宋体"/>
          <w:bCs/>
          <w:szCs w:val="21"/>
        </w:rPr>
        <w:t>缺陷修复及质量保修的</w:t>
      </w:r>
      <w:r>
        <w:rPr>
          <w:rFonts w:ascii="宋体" w:hAnsi="宋体"/>
          <w:bCs/>
          <w:szCs w:val="21"/>
        </w:rPr>
        <w:t>责任。</w:t>
      </w:r>
    </w:p>
    <w:p>
      <w:pPr>
        <w:widowControl/>
        <w:spacing w:line="400" w:lineRule="exact"/>
        <w:ind w:firstLine="420" w:firstLineChars="200"/>
        <w:jc w:val="left"/>
        <w:rPr>
          <w:rFonts w:ascii="宋体" w:hAnsi="宋体"/>
          <w:bCs/>
          <w:szCs w:val="21"/>
        </w:rPr>
      </w:pPr>
      <w:r>
        <w:rPr>
          <w:rFonts w:ascii="宋体" w:hAnsi="宋体"/>
          <w:bCs/>
          <w:szCs w:val="21"/>
        </w:rPr>
        <w:t>3.发包人和承包人通过招投标形式签订合同的，双方理解并</w:t>
      </w:r>
      <w:r>
        <w:rPr>
          <w:rFonts w:hint="eastAsia" w:ascii="宋体" w:hAnsi="宋体"/>
          <w:bCs/>
          <w:szCs w:val="21"/>
        </w:rPr>
        <w:t>承诺</w:t>
      </w:r>
      <w:r>
        <w:rPr>
          <w:rFonts w:ascii="宋体" w:hAnsi="宋体"/>
          <w:bCs/>
          <w:szCs w:val="21"/>
        </w:rPr>
        <w:t>不再就同一工程另行签订与合同实质性内容相背离的协议。</w:t>
      </w:r>
    </w:p>
    <w:p>
      <w:pPr>
        <w:widowControl/>
        <w:spacing w:line="400" w:lineRule="exact"/>
        <w:jc w:val="left"/>
        <w:rPr>
          <w:rFonts w:ascii="宋体" w:hAnsi="宋体"/>
          <w:bCs/>
          <w:szCs w:val="21"/>
        </w:rPr>
      </w:pPr>
      <w:bookmarkStart w:id="322" w:name="_Toc351203488"/>
      <w:r>
        <w:rPr>
          <w:rFonts w:ascii="宋体" w:hAnsi="宋体"/>
          <w:b/>
          <w:szCs w:val="21"/>
        </w:rPr>
        <w:t>八、词语含义</w:t>
      </w:r>
      <w:bookmarkEnd w:id="322"/>
    </w:p>
    <w:p>
      <w:pPr>
        <w:widowControl/>
        <w:spacing w:line="400" w:lineRule="exact"/>
        <w:ind w:firstLine="420" w:firstLineChars="200"/>
        <w:jc w:val="left"/>
        <w:rPr>
          <w:rFonts w:ascii="宋体" w:hAnsi="宋体"/>
          <w:bCs/>
          <w:szCs w:val="21"/>
        </w:rPr>
      </w:pPr>
      <w:r>
        <w:rPr>
          <w:rFonts w:ascii="宋体" w:hAnsi="宋体"/>
          <w:bCs/>
          <w:szCs w:val="21"/>
        </w:rPr>
        <w:t>本协议书中词语含义与第二部分通用合同条款中赋予的含义相同。</w:t>
      </w:r>
    </w:p>
    <w:p>
      <w:pPr>
        <w:widowControl/>
        <w:autoSpaceDE w:val="0"/>
        <w:autoSpaceDN w:val="0"/>
        <w:adjustRightInd w:val="0"/>
        <w:spacing w:line="400" w:lineRule="exact"/>
        <w:outlineLvl w:val="3"/>
        <w:rPr>
          <w:rFonts w:ascii="宋体" w:hAnsi="宋体"/>
          <w:b/>
          <w:szCs w:val="21"/>
        </w:rPr>
      </w:pPr>
      <w:bookmarkStart w:id="323" w:name="_Toc351203489"/>
      <w:r>
        <w:rPr>
          <w:rFonts w:ascii="宋体" w:hAnsi="宋体"/>
          <w:b/>
          <w:szCs w:val="21"/>
        </w:rPr>
        <w:t>九、签订时间</w:t>
      </w:r>
      <w:bookmarkEnd w:id="323"/>
    </w:p>
    <w:p>
      <w:pPr>
        <w:widowControl/>
        <w:spacing w:line="400" w:lineRule="exact"/>
        <w:ind w:firstLine="420" w:firstLineChars="200"/>
        <w:jc w:val="left"/>
        <w:rPr>
          <w:rFonts w:ascii="宋体" w:hAnsi="宋体"/>
          <w:bCs/>
          <w:szCs w:val="21"/>
        </w:rPr>
      </w:pPr>
      <w:r>
        <w:rPr>
          <w:rFonts w:ascii="宋体" w:hAnsi="宋体"/>
          <w:bCs/>
          <w:szCs w:val="21"/>
        </w:rPr>
        <w:t>本合同于</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年</w:t>
      </w:r>
      <w:r>
        <w:rPr>
          <w:rFonts w:hint="eastAsia" w:ascii="宋体" w:hAnsi="宋体"/>
          <w:bCs/>
          <w:szCs w:val="21"/>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月</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日签订。</w:t>
      </w:r>
    </w:p>
    <w:p>
      <w:pPr>
        <w:widowControl/>
        <w:autoSpaceDE w:val="0"/>
        <w:autoSpaceDN w:val="0"/>
        <w:adjustRightInd w:val="0"/>
        <w:spacing w:line="400" w:lineRule="exact"/>
        <w:outlineLvl w:val="3"/>
        <w:rPr>
          <w:rFonts w:ascii="宋体" w:hAnsi="宋体"/>
          <w:b/>
          <w:szCs w:val="21"/>
        </w:rPr>
      </w:pPr>
      <w:bookmarkStart w:id="324" w:name="_Toc351203490"/>
      <w:r>
        <w:rPr>
          <w:rFonts w:ascii="宋体" w:hAnsi="宋体"/>
          <w:b/>
          <w:szCs w:val="21"/>
        </w:rPr>
        <w:t>十、签订地点</w:t>
      </w:r>
      <w:bookmarkEnd w:id="324"/>
    </w:p>
    <w:p>
      <w:pPr>
        <w:widowControl/>
        <w:spacing w:line="400" w:lineRule="exact"/>
        <w:ind w:firstLine="420" w:firstLineChars="200"/>
        <w:jc w:val="left"/>
        <w:rPr>
          <w:rFonts w:ascii="宋体" w:hAnsi="宋体"/>
          <w:bCs/>
          <w:szCs w:val="21"/>
        </w:rPr>
      </w:pPr>
      <w:r>
        <w:rPr>
          <w:rFonts w:ascii="宋体" w:hAnsi="宋体"/>
          <w:bCs/>
          <w:szCs w:val="21"/>
        </w:rPr>
        <w:t>本合同在</w:t>
      </w:r>
      <w:r>
        <w:rPr>
          <w:rFonts w:hint="eastAsia" w:ascii="宋体" w:hAnsi="宋体"/>
          <w:bCs/>
          <w:szCs w:val="21"/>
          <w:u w:val="single"/>
        </w:rPr>
        <w:t>水土高新园</w:t>
      </w:r>
      <w:r>
        <w:rPr>
          <w:rFonts w:ascii="宋体" w:hAnsi="宋体"/>
          <w:bCs/>
          <w:szCs w:val="21"/>
        </w:rPr>
        <w:t>签订。</w:t>
      </w:r>
    </w:p>
    <w:p>
      <w:pPr>
        <w:widowControl/>
        <w:autoSpaceDE w:val="0"/>
        <w:autoSpaceDN w:val="0"/>
        <w:adjustRightInd w:val="0"/>
        <w:spacing w:line="400" w:lineRule="exact"/>
        <w:outlineLvl w:val="3"/>
        <w:rPr>
          <w:rFonts w:ascii="宋体" w:hAnsi="宋体"/>
          <w:b/>
          <w:szCs w:val="21"/>
        </w:rPr>
      </w:pPr>
      <w:bookmarkStart w:id="325" w:name="_Toc351203491"/>
      <w:r>
        <w:rPr>
          <w:rFonts w:ascii="宋体" w:hAnsi="宋体"/>
          <w:b/>
          <w:szCs w:val="21"/>
        </w:rPr>
        <w:t>十一、补充协议</w:t>
      </w:r>
      <w:bookmarkEnd w:id="325"/>
    </w:p>
    <w:p>
      <w:pPr>
        <w:widowControl/>
        <w:spacing w:line="400" w:lineRule="exact"/>
        <w:ind w:firstLine="420" w:firstLineChars="200"/>
        <w:jc w:val="left"/>
        <w:rPr>
          <w:rFonts w:ascii="宋体" w:hAnsi="宋体"/>
          <w:b/>
          <w:bCs/>
          <w:szCs w:val="21"/>
        </w:rPr>
      </w:pPr>
      <w:r>
        <w:rPr>
          <w:rFonts w:ascii="宋体" w:hAnsi="宋体"/>
          <w:bCs/>
          <w:szCs w:val="21"/>
        </w:rPr>
        <w:t>合同未尽事宜，合同当事人</w:t>
      </w:r>
      <w:r>
        <w:rPr>
          <w:rFonts w:hint="eastAsia" w:ascii="宋体" w:hAnsi="宋体"/>
          <w:bCs/>
          <w:szCs w:val="21"/>
        </w:rPr>
        <w:t>可</w:t>
      </w:r>
      <w:r>
        <w:rPr>
          <w:rFonts w:ascii="宋体" w:hAnsi="宋体"/>
          <w:bCs/>
          <w:szCs w:val="21"/>
        </w:rPr>
        <w:t>另行签订补充协议</w:t>
      </w:r>
      <w:r>
        <w:rPr>
          <w:rFonts w:hint="eastAsia" w:ascii="宋体" w:hAnsi="宋体"/>
          <w:bCs/>
          <w:szCs w:val="21"/>
        </w:rPr>
        <w:t>，</w:t>
      </w:r>
      <w:r>
        <w:rPr>
          <w:rFonts w:ascii="宋体" w:hAnsi="宋体"/>
          <w:bCs/>
          <w:szCs w:val="21"/>
        </w:rPr>
        <w:t>补充协议是合同的组成部分。</w:t>
      </w:r>
    </w:p>
    <w:p>
      <w:pPr>
        <w:widowControl/>
        <w:autoSpaceDE w:val="0"/>
        <w:autoSpaceDN w:val="0"/>
        <w:adjustRightInd w:val="0"/>
        <w:spacing w:line="400" w:lineRule="exact"/>
        <w:outlineLvl w:val="3"/>
        <w:rPr>
          <w:rFonts w:ascii="宋体" w:hAnsi="宋体"/>
          <w:b/>
          <w:szCs w:val="21"/>
        </w:rPr>
      </w:pPr>
      <w:bookmarkStart w:id="326" w:name="_Toc351203492"/>
      <w:r>
        <w:rPr>
          <w:rFonts w:ascii="宋体" w:hAnsi="宋体"/>
          <w:b/>
          <w:szCs w:val="21"/>
        </w:rPr>
        <w:t>十二、合同生效</w:t>
      </w:r>
      <w:bookmarkEnd w:id="326"/>
    </w:p>
    <w:p>
      <w:pPr>
        <w:widowControl/>
        <w:spacing w:line="400" w:lineRule="exact"/>
        <w:ind w:firstLine="420" w:firstLineChars="200"/>
        <w:jc w:val="left"/>
        <w:rPr>
          <w:rFonts w:ascii="宋体" w:hAnsi="宋体"/>
          <w:bCs/>
          <w:szCs w:val="21"/>
        </w:rPr>
      </w:pPr>
      <w:r>
        <w:rPr>
          <w:rFonts w:hint="eastAsia" w:ascii="宋体" w:hAnsi="宋体"/>
          <w:bCs/>
          <w:szCs w:val="21"/>
        </w:rPr>
        <w:t>本合同自双方签字盖章之日起生效</w:t>
      </w:r>
      <w:r>
        <w:rPr>
          <w:rFonts w:ascii="宋体" w:hAnsi="宋体"/>
          <w:bCs/>
          <w:szCs w:val="21"/>
        </w:rPr>
        <w:t>。</w:t>
      </w:r>
    </w:p>
    <w:p>
      <w:pPr>
        <w:widowControl/>
        <w:autoSpaceDE w:val="0"/>
        <w:autoSpaceDN w:val="0"/>
        <w:adjustRightInd w:val="0"/>
        <w:spacing w:line="400" w:lineRule="exact"/>
        <w:outlineLvl w:val="3"/>
        <w:rPr>
          <w:rFonts w:ascii="宋体" w:hAnsi="宋体"/>
          <w:b/>
          <w:szCs w:val="21"/>
        </w:rPr>
      </w:pPr>
      <w:bookmarkStart w:id="327" w:name="_Toc351203493"/>
      <w:r>
        <w:rPr>
          <w:rFonts w:ascii="宋体" w:hAnsi="宋体"/>
          <w:b/>
          <w:szCs w:val="21"/>
        </w:rPr>
        <w:t>十三、合同份数</w:t>
      </w:r>
      <w:bookmarkEnd w:id="327"/>
    </w:p>
    <w:p>
      <w:pPr>
        <w:widowControl/>
        <w:spacing w:line="400" w:lineRule="exact"/>
        <w:ind w:firstLine="420" w:firstLineChars="200"/>
        <w:jc w:val="left"/>
        <w:rPr>
          <w:rFonts w:ascii="宋体" w:hAnsi="宋体"/>
          <w:bCs/>
          <w:szCs w:val="21"/>
        </w:rPr>
      </w:pPr>
      <w:r>
        <w:rPr>
          <w:rFonts w:ascii="宋体" w:hAnsi="宋体"/>
          <w:bCs/>
          <w:szCs w:val="21"/>
        </w:rPr>
        <w:t>本合同一式12份，</w:t>
      </w:r>
      <w:r>
        <w:rPr>
          <w:rFonts w:hint="eastAsia" w:ascii="宋体" w:hAnsi="宋体"/>
          <w:szCs w:val="21"/>
        </w:rPr>
        <w:t>正本2份</w:t>
      </w:r>
      <w:r>
        <w:rPr>
          <w:rFonts w:ascii="宋体" w:hAnsi="宋体"/>
          <w:szCs w:val="21"/>
        </w:rPr>
        <w:t>，</w:t>
      </w:r>
      <w:r>
        <w:rPr>
          <w:rFonts w:hint="eastAsia" w:ascii="宋体" w:hAnsi="宋体"/>
          <w:szCs w:val="21"/>
        </w:rPr>
        <w:t>副本</w:t>
      </w:r>
      <w:r>
        <w:rPr>
          <w:rFonts w:ascii="宋体" w:hAnsi="宋体"/>
          <w:szCs w:val="21"/>
        </w:rPr>
        <w:t>10</w:t>
      </w:r>
      <w:r>
        <w:rPr>
          <w:rFonts w:hint="eastAsia" w:ascii="宋体" w:hAnsi="宋体"/>
          <w:szCs w:val="21"/>
        </w:rPr>
        <w:t>份，合同双方各执 1份正本，发包人执</w:t>
      </w:r>
      <w:r>
        <w:rPr>
          <w:rFonts w:ascii="宋体" w:hAnsi="宋体"/>
          <w:szCs w:val="21"/>
        </w:rPr>
        <w:t>7</w:t>
      </w:r>
      <w:r>
        <w:rPr>
          <w:rFonts w:hint="eastAsia" w:ascii="宋体" w:hAnsi="宋体"/>
          <w:szCs w:val="21"/>
        </w:rPr>
        <w:t>份副本，承包人执</w:t>
      </w:r>
      <w:r>
        <w:rPr>
          <w:rFonts w:ascii="宋体" w:hAnsi="宋体"/>
          <w:szCs w:val="21"/>
        </w:rPr>
        <w:t>3</w:t>
      </w:r>
      <w:r>
        <w:rPr>
          <w:rFonts w:hint="eastAsia" w:ascii="宋体" w:hAnsi="宋体"/>
          <w:szCs w:val="21"/>
        </w:rPr>
        <w:t>份副本，</w:t>
      </w:r>
      <w:r>
        <w:rPr>
          <w:rFonts w:ascii="宋体" w:hAnsi="宋体"/>
          <w:bCs/>
          <w:szCs w:val="21"/>
        </w:rPr>
        <w:t>均具有同等法律效力，</w:t>
      </w:r>
      <w:r>
        <w:rPr>
          <w:rFonts w:hint="eastAsia" w:ascii="宋体" w:hAnsi="宋体"/>
          <w:bCs/>
          <w:szCs w:val="21"/>
        </w:rPr>
        <w:t>当正本</w:t>
      </w:r>
      <w:r>
        <w:rPr>
          <w:rFonts w:ascii="宋体" w:hAnsi="宋体"/>
          <w:bCs/>
          <w:szCs w:val="21"/>
        </w:rPr>
        <w:t>与副本不一致时，以正本为准。</w:t>
      </w:r>
    </w:p>
    <w:p>
      <w:pPr>
        <w:widowControl/>
        <w:spacing w:line="400" w:lineRule="exact"/>
        <w:ind w:firstLine="420" w:firstLineChars="200"/>
        <w:jc w:val="left"/>
        <w:rPr>
          <w:rFonts w:ascii="宋体" w:hAnsi="宋体"/>
          <w:bCs/>
          <w:szCs w:val="21"/>
        </w:rPr>
      </w:pPr>
    </w:p>
    <w:p>
      <w:pPr>
        <w:widowControl/>
        <w:spacing w:line="400" w:lineRule="exact"/>
        <w:jc w:val="left"/>
        <w:rPr>
          <w:rFonts w:ascii="宋体" w:hAnsi="宋体"/>
          <w:bCs/>
          <w:szCs w:val="21"/>
        </w:rPr>
      </w:pPr>
    </w:p>
    <w:p>
      <w:pPr>
        <w:widowControl/>
        <w:spacing w:line="400" w:lineRule="exact"/>
        <w:jc w:val="left"/>
        <w:rPr>
          <w:rFonts w:ascii="宋体" w:hAnsi="宋体"/>
          <w:szCs w:val="21"/>
        </w:rPr>
      </w:pPr>
      <w:r>
        <w:rPr>
          <w:rFonts w:ascii="宋体" w:hAnsi="宋体"/>
          <w:szCs w:val="21"/>
        </w:rPr>
        <w:t>发包人</w:t>
      </w:r>
      <w:r>
        <w:rPr>
          <w:rFonts w:hint="eastAsia" w:ascii="宋体" w:hAnsi="宋体"/>
          <w:szCs w:val="21"/>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(公章)            承包人</w:t>
      </w:r>
      <w:r>
        <w:rPr>
          <w:rFonts w:hint="eastAsia" w:ascii="宋体" w:hAnsi="宋体"/>
          <w:szCs w:val="21"/>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(公章)</w:t>
      </w:r>
    </w:p>
    <w:p>
      <w:pPr>
        <w:widowControl/>
        <w:spacing w:line="400" w:lineRule="exact"/>
        <w:jc w:val="left"/>
        <w:rPr>
          <w:rFonts w:ascii="宋体" w:hAnsi="宋体"/>
          <w:szCs w:val="21"/>
          <w:u w:val="single"/>
        </w:rPr>
      </w:pPr>
    </w:p>
    <w:p>
      <w:pPr>
        <w:widowControl/>
        <w:spacing w:line="400" w:lineRule="exact"/>
        <w:jc w:val="left"/>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法定代表人或其委托代理人：</w:t>
      </w:r>
      <w:r>
        <w:rPr>
          <w:rFonts w:hint="eastAsia" w:ascii="宋体" w:hAnsi="宋体"/>
          <w:szCs w:val="21"/>
          <w:u w:val="single"/>
        </w:rPr>
        <w:t xml:space="preserve"> </w:t>
      </w:r>
      <w:r>
        <w:rPr>
          <w:rFonts w:ascii="宋体" w:hAnsi="宋体"/>
          <w:szCs w:val="21"/>
          <w:u w:val="single"/>
        </w:rPr>
        <w:t xml:space="preserve">             </w:t>
      </w:r>
    </w:p>
    <w:p>
      <w:pPr>
        <w:widowControl/>
        <w:spacing w:line="400" w:lineRule="exact"/>
        <w:jc w:val="left"/>
        <w:rPr>
          <w:rFonts w:ascii="宋体" w:hAnsi="宋体"/>
          <w:szCs w:val="21"/>
        </w:rPr>
      </w:pPr>
      <w:r>
        <w:rPr>
          <w:rFonts w:hint="eastAsia" w:ascii="宋体" w:hAnsi="宋体"/>
          <w:szCs w:val="21"/>
        </w:rPr>
        <w:t>（签字）                                    （签字）</w:t>
      </w:r>
    </w:p>
    <w:p>
      <w:pPr>
        <w:widowControl/>
        <w:spacing w:line="400" w:lineRule="exact"/>
        <w:jc w:val="left"/>
        <w:rPr>
          <w:rFonts w:ascii="宋体" w:hAnsi="宋体"/>
          <w:szCs w:val="21"/>
          <w:u w:val="single"/>
        </w:rPr>
      </w:pPr>
    </w:p>
    <w:p>
      <w:pPr>
        <w:widowControl/>
        <w:tabs>
          <w:tab w:val="left" w:pos="4410"/>
        </w:tabs>
        <w:spacing w:line="400" w:lineRule="exact"/>
        <w:jc w:val="left"/>
        <w:rPr>
          <w:rFonts w:ascii="宋体" w:hAnsi="宋体"/>
          <w:szCs w:val="21"/>
        </w:rPr>
      </w:pPr>
      <w:r>
        <w:rPr>
          <w:rFonts w:hint="eastAsia" w:ascii="宋体" w:hAnsi="宋体"/>
          <w:szCs w:val="21"/>
        </w:rPr>
        <w:t>组织机构代码：</w:t>
      </w:r>
      <w:r>
        <w:rPr>
          <w:rFonts w:ascii="宋体" w:hAnsi="宋体"/>
          <w:szCs w:val="21"/>
          <w:u w:val="single"/>
        </w:rPr>
        <w:t xml:space="preserve">      </w:t>
      </w:r>
      <w:r>
        <w:rPr>
          <w:rFonts w:hint="eastAsia" w:ascii="宋体" w:hAnsi="宋体"/>
          <w:szCs w:val="21"/>
        </w:rPr>
        <w:t xml:space="preserve">                组织机构代码：</w:t>
      </w:r>
      <w:r>
        <w:rPr>
          <w:rFonts w:ascii="宋体" w:hAnsi="宋体"/>
          <w:szCs w:val="21"/>
          <w:u w:val="single"/>
        </w:rPr>
        <w:t xml:space="preserve">  </w:t>
      </w:r>
    </w:p>
    <w:p>
      <w:pPr>
        <w:widowControl/>
        <w:spacing w:line="400" w:lineRule="exact"/>
        <w:jc w:val="left"/>
        <w:rPr>
          <w:rFonts w:ascii="宋体" w:hAnsi="宋体"/>
          <w:szCs w:val="21"/>
        </w:rPr>
      </w:pPr>
      <w:r>
        <w:rPr>
          <w:rFonts w:ascii="宋体" w:hAnsi="宋体"/>
          <w:szCs w:val="21"/>
        </w:rPr>
        <w:t>地  址：</w:t>
      </w:r>
      <w:r>
        <w:rPr>
          <w:rFonts w:ascii="宋体" w:hAnsi="宋体"/>
          <w:szCs w:val="21"/>
          <w:u w:val="single"/>
        </w:rPr>
        <w:t xml:space="preserve">             </w:t>
      </w:r>
      <w:r>
        <w:rPr>
          <w:rFonts w:ascii="宋体" w:hAnsi="宋体"/>
          <w:szCs w:val="21"/>
        </w:rPr>
        <w:t xml:space="preserve">       地  址：</w:t>
      </w:r>
      <w:r>
        <w:rPr>
          <w:rFonts w:ascii="宋体" w:hAnsi="宋体"/>
          <w:szCs w:val="21"/>
          <w:u w:val="single"/>
        </w:rPr>
        <w:t xml:space="preserve"> </w:t>
      </w:r>
    </w:p>
    <w:p>
      <w:pPr>
        <w:widowControl/>
        <w:spacing w:line="400" w:lineRule="exact"/>
        <w:jc w:val="left"/>
        <w:rPr>
          <w:rFonts w:ascii="宋体" w:hAnsi="宋体"/>
          <w:szCs w:val="21"/>
        </w:rPr>
      </w:pPr>
      <w:r>
        <w:rPr>
          <w:rFonts w:ascii="宋体" w:hAnsi="宋体"/>
          <w:szCs w:val="21"/>
        </w:rPr>
        <w:t>邮政编码：</w:t>
      </w:r>
      <w:r>
        <w:rPr>
          <w:rFonts w:ascii="宋体" w:hAnsi="宋体"/>
          <w:szCs w:val="21"/>
          <w:u w:val="single"/>
        </w:rPr>
        <w:t xml:space="preserve">              </w:t>
      </w:r>
      <w:r>
        <w:rPr>
          <w:rFonts w:ascii="宋体" w:hAnsi="宋体"/>
          <w:szCs w:val="21"/>
        </w:rPr>
        <w:t xml:space="preserve">      邮政编码：</w:t>
      </w:r>
      <w:r>
        <w:rPr>
          <w:rFonts w:ascii="宋体" w:hAnsi="宋体"/>
          <w:szCs w:val="21"/>
          <w:u w:val="single"/>
        </w:rPr>
        <w:t xml:space="preserve">   </w:t>
      </w:r>
    </w:p>
    <w:p>
      <w:pPr>
        <w:widowControl/>
        <w:spacing w:line="400" w:lineRule="exact"/>
        <w:jc w:val="left"/>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szCs w:val="21"/>
        </w:rPr>
        <w:t xml:space="preserve">        法定代表人：</w:t>
      </w:r>
      <w:r>
        <w:rPr>
          <w:rFonts w:ascii="宋体" w:hAnsi="宋体"/>
          <w:szCs w:val="21"/>
          <w:u w:val="single"/>
        </w:rPr>
        <w:t></w:t>
      </w:r>
    </w:p>
    <w:p>
      <w:pPr>
        <w:widowControl/>
        <w:spacing w:line="400" w:lineRule="exact"/>
        <w:jc w:val="left"/>
        <w:rPr>
          <w:rFonts w:ascii="宋体" w:hAnsi="宋体"/>
          <w:szCs w:val="21"/>
        </w:rPr>
      </w:pPr>
      <w:r>
        <w:rPr>
          <w:rFonts w:hint="eastAsia" w:ascii="宋体" w:hAnsi="宋体"/>
          <w:szCs w:val="21"/>
        </w:rPr>
        <w:t>经办人</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经办人</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p>
    <w:p>
      <w:pPr>
        <w:widowControl/>
        <w:spacing w:line="400" w:lineRule="exact"/>
        <w:jc w:val="left"/>
        <w:rPr>
          <w:rFonts w:ascii="宋体" w:hAnsi="宋体"/>
          <w:szCs w:val="21"/>
        </w:rPr>
      </w:pPr>
      <w:r>
        <w:rPr>
          <w:rFonts w:ascii="宋体" w:hAnsi="宋体"/>
          <w:szCs w:val="21"/>
        </w:rPr>
        <w:t>电  话：</w:t>
      </w:r>
      <w:r>
        <w:rPr>
          <w:rFonts w:ascii="宋体" w:hAnsi="宋体"/>
          <w:szCs w:val="21"/>
          <w:u w:val="single"/>
        </w:rPr>
        <w:t xml:space="preserve">           </w:t>
      </w:r>
      <w:r>
        <w:rPr>
          <w:rFonts w:ascii="宋体" w:hAnsi="宋体"/>
          <w:szCs w:val="21"/>
        </w:rPr>
        <w:t xml:space="preserve">       电  话：</w:t>
      </w:r>
      <w:r>
        <w:rPr>
          <w:rFonts w:ascii="宋体" w:hAnsi="宋体"/>
          <w:szCs w:val="21"/>
          <w:u w:val="single"/>
        </w:rPr>
        <w:t></w:t>
      </w:r>
    </w:p>
    <w:p>
      <w:pPr>
        <w:widowControl/>
        <w:spacing w:line="400" w:lineRule="exact"/>
        <w:jc w:val="left"/>
        <w:rPr>
          <w:rFonts w:ascii="宋体" w:hAnsi="宋体"/>
          <w:szCs w:val="21"/>
        </w:rPr>
      </w:pPr>
      <w:r>
        <w:rPr>
          <w:rFonts w:ascii="宋体" w:hAnsi="宋体"/>
          <w:szCs w:val="21"/>
        </w:rPr>
        <w:t>传  真：</w:t>
      </w:r>
      <w:r>
        <w:rPr>
          <w:rFonts w:ascii="宋体" w:hAnsi="宋体"/>
          <w:szCs w:val="21"/>
          <w:u w:val="single"/>
        </w:rPr>
        <w:t xml:space="preserve">          </w:t>
      </w:r>
      <w:r>
        <w:rPr>
          <w:rFonts w:ascii="宋体" w:hAnsi="宋体"/>
          <w:szCs w:val="21"/>
        </w:rPr>
        <w:t xml:space="preserve">        传  真：</w:t>
      </w:r>
      <w:r>
        <w:rPr>
          <w:rFonts w:ascii="宋体" w:hAnsi="宋体"/>
          <w:szCs w:val="21"/>
          <w:u w:val="single"/>
        </w:rPr>
        <w:t xml:space="preserve">   </w:t>
      </w:r>
    </w:p>
    <w:p>
      <w:pPr>
        <w:widowControl/>
        <w:spacing w:line="400" w:lineRule="exact"/>
        <w:jc w:val="left"/>
        <w:rPr>
          <w:rFonts w:ascii="宋体" w:hAnsi="宋体"/>
          <w:szCs w:val="21"/>
        </w:rPr>
      </w:pPr>
      <w:r>
        <w:rPr>
          <w:rFonts w:ascii="宋体" w:hAnsi="宋体"/>
          <w:szCs w:val="21"/>
        </w:rPr>
        <w:t>电子信箱：</w:t>
      </w:r>
      <w:r>
        <w:rPr>
          <w:rFonts w:ascii="宋体" w:hAnsi="宋体"/>
          <w:szCs w:val="21"/>
          <w:u w:val="single"/>
        </w:rPr>
        <w:t xml:space="preserve">   </w:t>
      </w:r>
      <w:r>
        <w:rPr>
          <w:rFonts w:hint="eastAsia" w:ascii="宋体" w:hAnsi="宋体"/>
          <w:szCs w:val="21"/>
        </w:rPr>
        <w:t xml:space="preserve"> </w:t>
      </w:r>
      <w:r>
        <w:rPr>
          <w:rFonts w:ascii="宋体" w:hAnsi="宋体"/>
          <w:szCs w:val="21"/>
        </w:rPr>
        <w:t xml:space="preserve">            电子信箱：</w:t>
      </w:r>
      <w:r>
        <w:rPr>
          <w:rFonts w:ascii="宋体" w:hAnsi="宋体"/>
          <w:szCs w:val="21"/>
          <w:u w:val="single"/>
        </w:rPr>
        <w:t xml:space="preserve">   </w:t>
      </w:r>
    </w:p>
    <w:p>
      <w:pPr>
        <w:widowControl/>
        <w:spacing w:line="400" w:lineRule="exact"/>
        <w:jc w:val="left"/>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pPr>
        <w:widowControl/>
        <w:spacing w:line="400" w:lineRule="exact"/>
        <w:jc w:val="left"/>
        <w:rPr>
          <w:rFonts w:ascii="宋体" w:hAnsi="宋体"/>
          <w:szCs w:val="21"/>
          <w:u w:val="single"/>
        </w:rPr>
      </w:pPr>
      <w:r>
        <w:rPr>
          <w:rFonts w:ascii="宋体" w:hAnsi="宋体"/>
          <w:szCs w:val="21"/>
        </w:rPr>
        <w:t>账  号：</w:t>
      </w:r>
      <w:r>
        <w:rPr>
          <w:rFonts w:ascii="宋体" w:hAnsi="宋体"/>
          <w:szCs w:val="21"/>
          <w:u w:val="single"/>
        </w:rPr>
        <w:t xml:space="preserve">          </w:t>
      </w:r>
      <w:r>
        <w:rPr>
          <w:rFonts w:ascii="宋体" w:hAnsi="宋体"/>
          <w:szCs w:val="21"/>
        </w:rPr>
        <w:t xml:space="preserve">           账 号：</w:t>
      </w:r>
      <w:r>
        <w:rPr>
          <w:rFonts w:ascii="宋体" w:hAnsi="宋体"/>
          <w:szCs w:val="21"/>
          <w:u w:val="single"/>
        </w:rPr>
        <w:t></w:t>
      </w:r>
    </w:p>
    <w:p>
      <w:pPr>
        <w:widowControl/>
        <w:spacing w:line="400" w:lineRule="exact"/>
        <w:jc w:val="center"/>
        <w:rPr>
          <w:rFonts w:ascii="宋体" w:hAnsi="宋体"/>
          <w:b/>
          <w:bCs/>
          <w:sz w:val="28"/>
          <w:szCs w:val="28"/>
        </w:rPr>
      </w:pPr>
      <w:r>
        <w:rPr>
          <w:rFonts w:hint="eastAsia" w:ascii="宋体" w:hAnsi="宋体"/>
          <w:b/>
          <w:bCs/>
          <w:sz w:val="28"/>
          <w:szCs w:val="28"/>
        </w:rPr>
        <w:br w:type="page"/>
      </w:r>
    </w:p>
    <w:p>
      <w:pPr>
        <w:widowControl/>
        <w:spacing w:line="500" w:lineRule="exact"/>
        <w:jc w:val="center"/>
        <w:rPr>
          <w:rFonts w:ascii="宋体" w:hAnsi="宋体"/>
          <w:sz w:val="24"/>
        </w:rPr>
      </w:pPr>
      <w:r>
        <w:rPr>
          <w:rFonts w:hint="eastAsia" w:ascii="宋体" w:hAnsi="宋体"/>
          <w:b/>
          <w:sz w:val="36"/>
          <w:szCs w:val="36"/>
        </w:rPr>
        <w:t>第二节    通用合同条款</w:t>
      </w:r>
    </w:p>
    <w:p>
      <w:pPr>
        <w:widowControl/>
        <w:adjustRightInd w:val="0"/>
        <w:snapToGrid w:val="0"/>
        <w:spacing w:line="400" w:lineRule="exact"/>
        <w:jc w:val="left"/>
        <w:rPr>
          <w:rFonts w:ascii="宋体" w:hAnsi="宋体"/>
          <w:kern w:val="0"/>
          <w:szCs w:val="21"/>
        </w:rPr>
      </w:pPr>
      <w:r>
        <w:rPr>
          <w:rFonts w:hint="eastAsia" w:ascii="宋体" w:hAnsi="宋体"/>
          <w:b/>
          <w:kern w:val="0"/>
          <w:sz w:val="28"/>
          <w:szCs w:val="28"/>
        </w:rPr>
        <w:t>通用合同条款采用中华人民共和国住房和城乡建设部与国家工商行政管理总局联合制定的《建设工程施工合同》（GF-2017-0201）示范文本第二章《通用合同条款》。</w:t>
      </w: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pPr>
    </w:p>
    <w:p>
      <w:pPr>
        <w:widowControl/>
        <w:spacing w:line="400" w:lineRule="exact"/>
        <w:jc w:val="left"/>
        <w:rPr>
          <w:rFonts w:ascii="宋体" w:hAnsi="宋体"/>
          <w:kern w:val="0"/>
          <w:szCs w:val="21"/>
        </w:rPr>
        <w:sectPr>
          <w:footerReference r:id="rId6" w:type="default"/>
          <w:pgSz w:w="11906" w:h="16838"/>
          <w:pgMar w:top="1440" w:right="1800" w:bottom="1440" w:left="1800" w:header="851" w:footer="992" w:gutter="0"/>
          <w:cols w:space="720" w:num="1"/>
          <w:docGrid w:type="lines" w:linePitch="312" w:charSpace="0"/>
        </w:sectPr>
      </w:pPr>
    </w:p>
    <w:p>
      <w:pPr>
        <w:widowControl/>
        <w:spacing w:line="400" w:lineRule="exact"/>
        <w:jc w:val="left"/>
        <w:rPr>
          <w:rFonts w:ascii="宋体" w:hAnsi="宋体"/>
          <w:kern w:val="0"/>
          <w:szCs w:val="21"/>
        </w:rPr>
      </w:pPr>
    </w:p>
    <w:p>
      <w:pPr>
        <w:widowControl/>
        <w:spacing w:line="500" w:lineRule="exact"/>
        <w:jc w:val="center"/>
        <w:rPr>
          <w:rFonts w:ascii="宋体" w:hAnsi="宋体"/>
          <w:b/>
          <w:bCs/>
          <w:sz w:val="28"/>
          <w:szCs w:val="28"/>
        </w:rPr>
      </w:pPr>
      <w:r>
        <w:rPr>
          <w:rFonts w:hint="eastAsia" w:ascii="宋体" w:hAnsi="宋体"/>
          <w:b/>
          <w:sz w:val="36"/>
          <w:szCs w:val="36"/>
        </w:rPr>
        <w:t>第三节  专用合同条款</w:t>
      </w:r>
    </w:p>
    <w:p>
      <w:pPr>
        <w:widowControl/>
        <w:autoSpaceDE w:val="0"/>
        <w:autoSpaceDN w:val="0"/>
        <w:adjustRightInd w:val="0"/>
        <w:spacing w:line="400" w:lineRule="exact"/>
        <w:outlineLvl w:val="3"/>
        <w:rPr>
          <w:rFonts w:ascii="宋体" w:hAnsi="宋体"/>
          <w:b/>
          <w:szCs w:val="21"/>
        </w:rPr>
      </w:pPr>
      <w:bookmarkStart w:id="328" w:name="_Toc351203633"/>
      <w:r>
        <w:rPr>
          <w:rFonts w:ascii="宋体" w:hAnsi="宋体"/>
          <w:b/>
          <w:szCs w:val="21"/>
        </w:rPr>
        <w:t>1</w:t>
      </w:r>
      <w:bookmarkStart w:id="329" w:name="_Toc292559866"/>
      <w:bookmarkStart w:id="330" w:name="_Toc297048342"/>
      <w:bookmarkStart w:id="331" w:name="_Toc296503156"/>
      <w:bookmarkStart w:id="332" w:name="_Toc296944495"/>
      <w:bookmarkStart w:id="333" w:name="_Toc296891196"/>
      <w:bookmarkStart w:id="334" w:name="_Toc296346657"/>
      <w:bookmarkStart w:id="335" w:name="_Toc292559361"/>
      <w:bookmarkStart w:id="336" w:name="_Toc296347155"/>
      <w:bookmarkStart w:id="337" w:name="_Toc297120456"/>
      <w:bookmarkStart w:id="338" w:name="_Toc296890984"/>
      <w:r>
        <w:rPr>
          <w:rFonts w:ascii="宋体" w:hAnsi="宋体"/>
          <w:b/>
          <w:szCs w:val="21"/>
        </w:rPr>
        <w:t>. 一般约定</w:t>
      </w:r>
      <w:bookmarkEnd w:id="328"/>
    </w:p>
    <w:bookmarkEnd w:id="329"/>
    <w:bookmarkEnd w:id="330"/>
    <w:bookmarkEnd w:id="331"/>
    <w:bookmarkEnd w:id="332"/>
    <w:bookmarkEnd w:id="333"/>
    <w:bookmarkEnd w:id="334"/>
    <w:bookmarkEnd w:id="335"/>
    <w:bookmarkEnd w:id="336"/>
    <w:bookmarkEnd w:id="337"/>
    <w:bookmarkEnd w:id="338"/>
    <w:p>
      <w:pPr>
        <w:widowControl/>
        <w:spacing w:line="400" w:lineRule="exact"/>
        <w:ind w:firstLine="420" w:firstLineChars="200"/>
        <w:jc w:val="left"/>
        <w:rPr>
          <w:rFonts w:ascii="宋体" w:hAnsi="宋体"/>
          <w:szCs w:val="21"/>
        </w:rPr>
      </w:pPr>
      <w:r>
        <w:rPr>
          <w:rFonts w:ascii="宋体" w:hAnsi="宋体"/>
          <w:szCs w:val="21"/>
        </w:rPr>
        <w:t>1.1 词语定义</w:t>
      </w:r>
    </w:p>
    <w:p>
      <w:pPr>
        <w:widowControl/>
        <w:spacing w:line="400" w:lineRule="exact"/>
        <w:ind w:firstLine="420" w:firstLineChars="200"/>
        <w:jc w:val="left"/>
        <w:rPr>
          <w:rFonts w:ascii="宋体" w:hAnsi="宋体"/>
          <w:kern w:val="0"/>
          <w:szCs w:val="21"/>
        </w:rPr>
      </w:pPr>
      <w:r>
        <w:rPr>
          <w:rFonts w:ascii="宋体" w:hAnsi="宋体"/>
          <w:kern w:val="0"/>
          <w:szCs w:val="21"/>
        </w:rPr>
        <w:t>1.1.1合同</w:t>
      </w:r>
    </w:p>
    <w:p>
      <w:pPr>
        <w:widowControl/>
        <w:spacing w:line="400" w:lineRule="exact"/>
        <w:ind w:firstLine="420" w:firstLineChars="200"/>
        <w:jc w:val="left"/>
        <w:rPr>
          <w:rFonts w:ascii="宋体" w:hAnsi="宋体"/>
          <w:kern w:val="0"/>
          <w:szCs w:val="21"/>
        </w:rPr>
      </w:pPr>
      <w:r>
        <w:rPr>
          <w:rFonts w:ascii="宋体" w:hAnsi="宋体"/>
          <w:kern w:val="0"/>
          <w:szCs w:val="21"/>
        </w:rPr>
        <w:t>1.1.1.10其他合同文件包括：</w:t>
      </w:r>
      <w:r>
        <w:rPr>
          <w:rFonts w:hint="eastAsia" w:ascii="宋体" w:hAnsi="宋体"/>
          <w:kern w:val="0"/>
          <w:szCs w:val="21"/>
        </w:rPr>
        <w:t>会议纪要、备忘录、登记表等</w:t>
      </w:r>
      <w:r>
        <w:rPr>
          <w:rFonts w:ascii="宋体" w:hAnsi="宋体"/>
          <w:kern w:val="0"/>
          <w:szCs w:val="21"/>
        </w:rPr>
        <w:t>与工程施工有关的具有合同约束力的文件或书面协议。</w:t>
      </w:r>
    </w:p>
    <w:p>
      <w:pPr>
        <w:widowControl/>
        <w:spacing w:line="400" w:lineRule="exact"/>
        <w:ind w:firstLine="420" w:firstLineChars="200"/>
        <w:jc w:val="left"/>
        <w:rPr>
          <w:rFonts w:ascii="宋体" w:hAnsi="宋体"/>
          <w:szCs w:val="21"/>
        </w:rPr>
      </w:pPr>
      <w:r>
        <w:rPr>
          <w:rFonts w:ascii="宋体" w:hAnsi="宋体"/>
          <w:szCs w:val="21"/>
        </w:rPr>
        <w:t>1.1.2 合同当事人及其他相关方</w:t>
      </w:r>
    </w:p>
    <w:p>
      <w:pPr>
        <w:widowControl/>
        <w:spacing w:line="400" w:lineRule="exact"/>
        <w:ind w:firstLine="420" w:firstLineChars="200"/>
        <w:jc w:val="left"/>
        <w:rPr>
          <w:rFonts w:ascii="宋体" w:hAnsi="宋体"/>
          <w:szCs w:val="21"/>
        </w:rPr>
      </w:pPr>
      <w:r>
        <w:rPr>
          <w:rFonts w:hint="eastAsia" w:ascii="宋体" w:hAnsi="宋体"/>
          <w:szCs w:val="21"/>
        </w:rPr>
        <w:t>1.1.2.2  发包人：</w:t>
      </w:r>
      <w:r>
        <w:rPr>
          <w:rFonts w:hint="eastAsia" w:ascii="宋体" w:hAnsi="宋体"/>
          <w:szCs w:val="21"/>
          <w:u w:val="single"/>
        </w:rPr>
        <w:t>重庆两江新区</w:t>
      </w:r>
      <w:r>
        <w:rPr>
          <w:rFonts w:ascii="宋体" w:hAnsi="宋体"/>
          <w:szCs w:val="21"/>
          <w:u w:val="single"/>
        </w:rPr>
        <w:t>水土高新技术产业园建设投资有限公司</w:t>
      </w:r>
      <w:r>
        <w:rPr>
          <w:rFonts w:hint="eastAsia" w:ascii="宋体" w:hAnsi="宋体"/>
          <w:szCs w:val="21"/>
        </w:rPr>
        <w:t>；</w:t>
      </w:r>
    </w:p>
    <w:p>
      <w:pPr>
        <w:widowControl/>
        <w:spacing w:line="400" w:lineRule="exact"/>
        <w:ind w:firstLine="420" w:firstLineChars="200"/>
        <w:jc w:val="left"/>
        <w:rPr>
          <w:rFonts w:ascii="宋体" w:hAnsi="宋体"/>
          <w:szCs w:val="21"/>
        </w:rPr>
      </w:pPr>
      <w:r>
        <w:rPr>
          <w:rFonts w:hint="eastAsia" w:ascii="宋体" w:hAnsi="宋体"/>
          <w:szCs w:val="21"/>
        </w:rPr>
        <w:t>1.1.2.3  承包人：</w:t>
      </w:r>
      <w:r>
        <w:rPr>
          <w:rFonts w:ascii="宋体" w:hAnsi="宋体"/>
          <w:szCs w:val="21"/>
          <w:u w:val="single"/>
        </w:rPr>
        <w:t xml:space="preserve">    </w:t>
      </w:r>
      <w:r>
        <w:rPr>
          <w:rFonts w:hint="eastAsia"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1.1.2.4  监理人：</w:t>
      </w:r>
      <w:r>
        <w:rPr>
          <w:rFonts w:ascii="宋体" w:hAnsi="宋体"/>
          <w:szCs w:val="21"/>
          <w:u w:val="single"/>
        </w:rPr>
        <w:t xml:space="preserve">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1.1.2.5  设计人：</w:t>
      </w:r>
      <w:r>
        <w:rPr>
          <w:rFonts w:ascii="宋体" w:hAnsi="宋体"/>
          <w:szCs w:val="21"/>
          <w:u w:val="single"/>
        </w:rPr>
        <w:t xml:space="preserve"> </w:t>
      </w:r>
      <w:r>
        <w:rPr>
          <w:rFonts w:ascii="宋体" w:hAnsi="宋体"/>
          <w:szCs w:val="21"/>
        </w:rPr>
        <w:t>；</w:t>
      </w:r>
    </w:p>
    <w:p>
      <w:pPr>
        <w:widowControl/>
        <w:spacing w:line="400" w:lineRule="exact"/>
        <w:ind w:firstLine="420" w:firstLineChars="200"/>
        <w:jc w:val="left"/>
        <w:rPr>
          <w:szCs w:val="21"/>
        </w:rPr>
      </w:pPr>
      <w:r>
        <w:rPr>
          <w:rFonts w:hint="eastAsia"/>
          <w:szCs w:val="21"/>
        </w:rPr>
        <w:t>其他相关方：</w:t>
      </w:r>
    </w:p>
    <w:p>
      <w:pPr>
        <w:widowControl/>
        <w:spacing w:line="400" w:lineRule="exact"/>
        <w:ind w:firstLine="420" w:firstLineChars="200"/>
        <w:jc w:val="left"/>
        <w:rPr>
          <w:rFonts w:ascii="宋体" w:hAnsi="宋体"/>
          <w:szCs w:val="21"/>
          <w:u w:val="single"/>
        </w:rPr>
      </w:pPr>
      <w:r>
        <w:rPr>
          <w:rFonts w:hint="eastAsia"/>
          <w:szCs w:val="21"/>
        </w:rPr>
        <w:t>造价咨询机构：</w:t>
      </w:r>
      <w:r>
        <w:rPr>
          <w:rFonts w:hint="eastAsia" w:ascii="宋体" w:hAnsi="宋体"/>
          <w:szCs w:val="21"/>
          <w:u w:val="single"/>
        </w:rPr>
        <w:t>发包人聘请的对建设项目从投资立项到竣工交付使用各阶段经济管理活动的真实、</w:t>
      </w:r>
      <w:r>
        <w:fldChar w:fldCharType="begin"/>
      </w:r>
      <w:r>
        <w:instrText xml:space="preserve"> HYPERLINK "https://baike.baidu.com/item/%E5%90%88%E6%B3%95/9749705" \t "https://baike.baidu.com/item/%E5%BB%BA%E8%AE%BE%E9%A1%B9%E7%9B%AE%E8%B7%9F%E8%B8%AA%E5%AE%A1%E8%AE%A1/_blank" </w:instrText>
      </w:r>
      <w:r>
        <w:fldChar w:fldCharType="separate"/>
      </w:r>
      <w:r>
        <w:rPr>
          <w:rFonts w:ascii="宋体" w:hAnsi="宋体"/>
          <w:szCs w:val="21"/>
          <w:u w:val="single"/>
        </w:rPr>
        <w:t>合法</w:t>
      </w:r>
      <w:r>
        <w:rPr>
          <w:rFonts w:ascii="宋体" w:hAnsi="宋体"/>
          <w:szCs w:val="21"/>
          <w:u w:val="single"/>
        </w:rPr>
        <w:fldChar w:fldCharType="end"/>
      </w:r>
      <w:r>
        <w:rPr>
          <w:rFonts w:ascii="宋体" w:hAnsi="宋体"/>
          <w:szCs w:val="21"/>
          <w:u w:val="single"/>
        </w:rPr>
        <w:t>、效益进行审查、监督、分析和评价</w:t>
      </w:r>
      <w:r>
        <w:rPr>
          <w:rFonts w:hint="eastAsia" w:ascii="宋体" w:hAnsi="宋体"/>
          <w:szCs w:val="21"/>
          <w:u w:val="single"/>
        </w:rPr>
        <w:t>的具有相关资质的社会中介机构</w:t>
      </w:r>
      <w:r>
        <w:rPr>
          <w:rFonts w:hint="eastAsia" w:ascii="宋体" w:hAnsi="宋体"/>
          <w:szCs w:val="21"/>
        </w:rPr>
        <w:t>。</w:t>
      </w:r>
    </w:p>
    <w:p>
      <w:pPr>
        <w:widowControl/>
        <w:spacing w:line="400" w:lineRule="exact"/>
        <w:ind w:firstLine="420" w:firstLineChars="200"/>
        <w:jc w:val="left"/>
        <w:rPr>
          <w:szCs w:val="21"/>
        </w:rPr>
      </w:pPr>
      <w:r>
        <w:rPr>
          <w:rFonts w:hint="eastAsia"/>
          <w:szCs w:val="21"/>
        </w:rPr>
        <w:t>审计行政机关：</w:t>
      </w:r>
      <w:r>
        <w:rPr>
          <w:rFonts w:hint="eastAsia" w:ascii="宋体" w:hAnsi="宋体"/>
          <w:szCs w:val="21"/>
          <w:u w:val="single"/>
        </w:rPr>
        <w:t>审计行政机关是指重庆两江新区审计局、两江</w:t>
      </w:r>
      <w:r>
        <w:rPr>
          <w:rFonts w:ascii="宋体" w:hAnsi="宋体"/>
          <w:szCs w:val="21"/>
          <w:u w:val="single"/>
        </w:rPr>
        <w:t>新区财政投资评审中心、</w:t>
      </w:r>
      <w:r>
        <w:rPr>
          <w:rFonts w:hint="eastAsia" w:ascii="宋体" w:hAnsi="宋体"/>
          <w:szCs w:val="21"/>
          <w:u w:val="single"/>
        </w:rPr>
        <w:t>重庆市审计局、中华人民共和国审计署</w:t>
      </w:r>
      <w:r>
        <w:rPr>
          <w:rFonts w:hint="eastAsia"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1.1.3 工程和设备</w:t>
      </w:r>
    </w:p>
    <w:p>
      <w:pPr>
        <w:widowControl/>
        <w:spacing w:line="400" w:lineRule="exact"/>
        <w:ind w:firstLine="420" w:firstLineChars="200"/>
        <w:jc w:val="left"/>
        <w:rPr>
          <w:rFonts w:ascii="宋体" w:hAnsi="宋体"/>
          <w:szCs w:val="21"/>
        </w:rPr>
      </w:pPr>
      <w:r>
        <w:rPr>
          <w:rFonts w:ascii="宋体" w:hAnsi="宋体"/>
          <w:szCs w:val="21"/>
        </w:rPr>
        <w:t>1.1.3.7 作为施工现场组成部分的其他场所包括：</w:t>
      </w:r>
      <w:r>
        <w:rPr>
          <w:rFonts w:ascii="宋体" w:hAnsi="宋体"/>
          <w:szCs w:val="21"/>
          <w:u w:val="single"/>
        </w:rPr>
        <w:t xml:space="preserve">                          </w:t>
      </w:r>
      <w:r>
        <w:rPr>
          <w:rFonts w:ascii="宋体" w:hAnsi="宋体"/>
          <w:szCs w:val="21"/>
        </w:rPr>
        <w:t>。</w:t>
      </w:r>
    </w:p>
    <w:p>
      <w:pPr>
        <w:widowControl/>
        <w:spacing w:line="400" w:lineRule="exact"/>
        <w:ind w:firstLine="420" w:firstLineChars="200"/>
        <w:jc w:val="left"/>
        <w:rPr>
          <w:rFonts w:ascii="宋体" w:hAnsi="宋体"/>
          <w:kern w:val="0"/>
          <w:szCs w:val="21"/>
        </w:rPr>
      </w:pPr>
      <w:r>
        <w:rPr>
          <w:rFonts w:ascii="宋体" w:hAnsi="宋体"/>
          <w:kern w:val="0"/>
          <w:szCs w:val="21"/>
        </w:rPr>
        <w:t>1.1.3.9 永久占地包括：</w:t>
      </w:r>
      <w:r>
        <w:rPr>
          <w:rFonts w:ascii="宋体" w:hAnsi="宋体"/>
          <w:szCs w:val="21"/>
          <w:u w:val="single"/>
        </w:rPr>
        <w:t xml:space="preserve">                </w:t>
      </w:r>
      <w:r>
        <w:rPr>
          <w:rFonts w:ascii="宋体" w:hAnsi="宋体"/>
          <w:kern w:val="0"/>
          <w:szCs w:val="21"/>
        </w:rPr>
        <w:t>。</w:t>
      </w:r>
    </w:p>
    <w:p>
      <w:pPr>
        <w:widowControl/>
        <w:spacing w:line="400" w:lineRule="exact"/>
        <w:ind w:firstLine="420" w:firstLineChars="200"/>
        <w:jc w:val="left"/>
        <w:rPr>
          <w:rFonts w:ascii="宋体" w:hAnsi="宋体"/>
          <w:kern w:val="0"/>
          <w:szCs w:val="21"/>
        </w:rPr>
      </w:pPr>
      <w:r>
        <w:rPr>
          <w:rFonts w:ascii="宋体" w:hAnsi="宋体"/>
          <w:kern w:val="0"/>
          <w:szCs w:val="21"/>
        </w:rPr>
        <w:t>1.1.3.10 临时占地包括：</w:t>
      </w:r>
      <w:r>
        <w:rPr>
          <w:rFonts w:ascii="宋体" w:hAnsi="宋体"/>
          <w:szCs w:val="21"/>
          <w:u w:val="single"/>
        </w:rPr>
        <w:t xml:space="preserve">               </w:t>
      </w:r>
      <w:r>
        <w:rPr>
          <w:rFonts w:ascii="宋体" w:hAnsi="宋体"/>
          <w:kern w:val="0"/>
          <w:szCs w:val="21"/>
        </w:rPr>
        <w:t>。</w:t>
      </w:r>
    </w:p>
    <w:p>
      <w:pPr>
        <w:widowControl/>
        <w:spacing w:line="400" w:lineRule="exact"/>
        <w:ind w:firstLine="420" w:firstLineChars="200"/>
        <w:jc w:val="left"/>
        <w:rPr>
          <w:rFonts w:ascii="宋体" w:hAnsi="宋体"/>
          <w:kern w:val="0"/>
          <w:szCs w:val="21"/>
        </w:rPr>
      </w:pPr>
      <w:r>
        <w:rPr>
          <w:rFonts w:hint="eastAsia" w:ascii="宋体" w:hAnsi="宋体"/>
          <w:kern w:val="0"/>
          <w:szCs w:val="21"/>
        </w:rPr>
        <w:t>1.1.4  日期</w:t>
      </w:r>
    </w:p>
    <w:p>
      <w:pPr>
        <w:widowControl/>
        <w:spacing w:line="400" w:lineRule="exact"/>
        <w:ind w:firstLine="420" w:firstLineChars="200"/>
        <w:jc w:val="left"/>
        <w:rPr>
          <w:rFonts w:ascii="宋体" w:hAnsi="宋体"/>
          <w:szCs w:val="21"/>
        </w:rPr>
      </w:pPr>
      <w:r>
        <w:rPr>
          <w:rFonts w:hint="eastAsia" w:ascii="宋体" w:hAnsi="宋体"/>
          <w:kern w:val="0"/>
          <w:szCs w:val="21"/>
        </w:rPr>
        <w:t>1.1.4.5 缺陷责任期：</w:t>
      </w:r>
      <w:r>
        <w:rPr>
          <w:rFonts w:hint="eastAsia" w:ascii="宋体" w:hAnsi="宋体"/>
          <w:szCs w:val="21"/>
          <w:u w:val="single"/>
        </w:rPr>
        <w:t xml:space="preserve"> 24个月（工程竣工验收合格之日起算）</w:t>
      </w:r>
      <w:r>
        <w:rPr>
          <w:rFonts w:hint="eastAsia"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 xml:space="preserve">1.3法律 </w:t>
      </w:r>
    </w:p>
    <w:p>
      <w:pPr>
        <w:widowControl/>
        <w:autoSpaceDE w:val="0"/>
        <w:autoSpaceDN w:val="0"/>
        <w:adjustRightInd w:val="0"/>
        <w:spacing w:line="400" w:lineRule="exact"/>
        <w:ind w:firstLine="415" w:firstLineChars="198"/>
        <w:jc w:val="left"/>
        <w:rPr>
          <w:rFonts w:ascii="宋体" w:hAnsi="宋体"/>
          <w:szCs w:val="21"/>
        </w:rPr>
      </w:pPr>
      <w:r>
        <w:rPr>
          <w:rFonts w:hint="eastAsia" w:ascii="宋体" w:hAnsi="宋体"/>
          <w:szCs w:val="21"/>
        </w:rPr>
        <w:t>中华人民共和国及重庆市现行的有关安全生产、文明施工、环境保护、质量检验、分户验收、荷载试验、竣工验收、商品砼推广、建筑节能、绿色建筑等法律法规、规章等规范性文件。</w:t>
      </w:r>
    </w:p>
    <w:p>
      <w:pPr>
        <w:widowControl/>
        <w:spacing w:line="400" w:lineRule="exact"/>
        <w:ind w:firstLine="420" w:firstLineChars="200"/>
        <w:jc w:val="left"/>
        <w:rPr>
          <w:rFonts w:ascii="宋体" w:hAnsi="宋体"/>
          <w:szCs w:val="21"/>
        </w:rPr>
      </w:pPr>
      <w:r>
        <w:rPr>
          <w:rFonts w:ascii="宋体" w:hAnsi="宋体"/>
          <w:szCs w:val="21"/>
        </w:rPr>
        <w:t>1.4 标准和规范</w:t>
      </w:r>
    </w:p>
    <w:p>
      <w:pPr>
        <w:widowControl/>
        <w:spacing w:line="400" w:lineRule="exact"/>
        <w:ind w:firstLine="420" w:firstLineChars="200"/>
        <w:jc w:val="left"/>
        <w:rPr>
          <w:rFonts w:ascii="宋体" w:hAnsi="宋体"/>
          <w:szCs w:val="21"/>
        </w:rPr>
      </w:pPr>
      <w:r>
        <w:rPr>
          <w:rFonts w:ascii="宋体" w:hAnsi="宋体"/>
          <w:szCs w:val="21"/>
        </w:rPr>
        <w:t>1.4.1适用于工程的标准规范包括：</w:t>
      </w:r>
      <w:r>
        <w:rPr>
          <w:rFonts w:hint="eastAsia"/>
          <w:szCs w:val="21"/>
        </w:rPr>
        <w:t>国家和地方工程建设强制性规范、工程设计、工程施工和工程验收规范</w:t>
      </w:r>
      <w:r>
        <w:rPr>
          <w:rFonts w:ascii="宋体" w:hAnsi="宋体"/>
          <w:szCs w:val="21"/>
        </w:rPr>
        <w:t>。</w:t>
      </w:r>
    </w:p>
    <w:p>
      <w:pPr>
        <w:widowControl/>
        <w:spacing w:line="400" w:lineRule="exact"/>
        <w:ind w:firstLine="420" w:firstLineChars="200"/>
        <w:jc w:val="left"/>
        <w:rPr>
          <w:rFonts w:ascii="宋体" w:hAnsi="宋体"/>
          <w:kern w:val="0"/>
          <w:szCs w:val="21"/>
        </w:rPr>
      </w:pPr>
      <w:r>
        <w:rPr>
          <w:rFonts w:ascii="宋体" w:hAnsi="宋体"/>
          <w:kern w:val="0"/>
          <w:szCs w:val="21"/>
        </w:rPr>
        <w:t>1.4.2 发包人提供国外标准、规范的名称：</w:t>
      </w:r>
      <w:r>
        <w:rPr>
          <w:rFonts w:hint="eastAsia" w:ascii="宋体" w:hAnsi="宋体"/>
          <w:kern w:val="0"/>
          <w:szCs w:val="21"/>
          <w:u w:val="single"/>
        </w:rPr>
        <w:t>无</w:t>
      </w:r>
      <w:r>
        <w:rPr>
          <w:rFonts w:ascii="宋体" w:hAnsi="宋体"/>
          <w:kern w:val="0"/>
          <w:szCs w:val="21"/>
        </w:rPr>
        <w:t>；</w:t>
      </w:r>
    </w:p>
    <w:p>
      <w:pPr>
        <w:widowControl/>
        <w:spacing w:line="400" w:lineRule="exact"/>
        <w:ind w:firstLine="420" w:firstLineChars="200"/>
        <w:jc w:val="left"/>
        <w:rPr>
          <w:rFonts w:ascii="宋体" w:hAnsi="宋体"/>
          <w:kern w:val="0"/>
          <w:szCs w:val="21"/>
        </w:rPr>
      </w:pPr>
      <w:r>
        <w:rPr>
          <w:rFonts w:ascii="宋体" w:hAnsi="宋体"/>
          <w:kern w:val="0"/>
          <w:szCs w:val="21"/>
        </w:rPr>
        <w:t>发包人提供国外标准、规范的份数：</w:t>
      </w:r>
      <w:r>
        <w:rPr>
          <w:rFonts w:hint="eastAsia" w:ascii="宋体" w:hAnsi="宋体"/>
          <w:kern w:val="0"/>
          <w:szCs w:val="21"/>
          <w:u w:val="single"/>
        </w:rPr>
        <w:t>无</w:t>
      </w:r>
      <w:r>
        <w:rPr>
          <w:rFonts w:ascii="宋体" w:hAnsi="宋体"/>
          <w:kern w:val="0"/>
          <w:szCs w:val="21"/>
        </w:rPr>
        <w:t>；</w:t>
      </w:r>
    </w:p>
    <w:p>
      <w:pPr>
        <w:widowControl/>
        <w:spacing w:line="400" w:lineRule="exact"/>
        <w:ind w:firstLine="420" w:firstLineChars="200"/>
        <w:jc w:val="left"/>
        <w:rPr>
          <w:rFonts w:ascii="宋体" w:hAnsi="宋体"/>
          <w:szCs w:val="21"/>
        </w:rPr>
      </w:pPr>
      <w:r>
        <w:rPr>
          <w:rFonts w:ascii="宋体" w:hAnsi="宋体"/>
          <w:kern w:val="0"/>
          <w:szCs w:val="21"/>
        </w:rPr>
        <w:t>发包人提供国外标准、规范的名称：</w:t>
      </w:r>
      <w:r>
        <w:rPr>
          <w:rFonts w:hint="eastAsia" w:ascii="宋体" w:hAnsi="宋体"/>
          <w:kern w:val="0"/>
          <w:szCs w:val="21"/>
          <w:u w:val="single"/>
        </w:rPr>
        <w:t>无</w:t>
      </w:r>
      <w:r>
        <w:rPr>
          <w:rFonts w:ascii="宋体" w:hAnsi="宋体"/>
          <w:kern w:val="0"/>
          <w:szCs w:val="21"/>
        </w:rPr>
        <w:t>。</w:t>
      </w:r>
    </w:p>
    <w:p>
      <w:pPr>
        <w:widowControl/>
        <w:spacing w:line="400" w:lineRule="exact"/>
        <w:ind w:firstLine="420" w:firstLineChars="200"/>
        <w:jc w:val="left"/>
        <w:rPr>
          <w:rFonts w:ascii="宋体" w:hAnsi="宋体"/>
          <w:szCs w:val="21"/>
        </w:rPr>
      </w:pPr>
      <w:r>
        <w:rPr>
          <w:rFonts w:ascii="宋体" w:hAnsi="宋体"/>
          <w:szCs w:val="21"/>
        </w:rPr>
        <w:t>1.4.3发包人对工程的技术标准和功能要求的特殊要求：</w:t>
      </w:r>
      <w:r>
        <w:rPr>
          <w:rFonts w:hint="eastAsia" w:ascii="宋体" w:hAnsi="宋体"/>
          <w:szCs w:val="21"/>
          <w:u w:val="single"/>
        </w:rPr>
        <w:t>按国家标准、行业标准、地方标准、企业标准之顺序，前一标准不存在的，依次适用后一标准</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1.5 合同文件的优先顺序</w:t>
      </w:r>
    </w:p>
    <w:p>
      <w:pPr>
        <w:widowControl/>
        <w:adjustRightInd w:val="0"/>
        <w:snapToGrid w:val="0"/>
        <w:spacing w:line="400" w:lineRule="exact"/>
        <w:ind w:firstLine="525" w:firstLineChars="250"/>
        <w:jc w:val="left"/>
        <w:rPr>
          <w:rFonts w:ascii="宋体" w:hAnsi="宋体"/>
          <w:szCs w:val="21"/>
        </w:rPr>
      </w:pPr>
      <w:r>
        <w:rPr>
          <w:rFonts w:ascii="宋体" w:hAnsi="宋体"/>
          <w:szCs w:val="21"/>
        </w:rPr>
        <w:t>合同文件组成及优先顺序为：</w:t>
      </w:r>
    </w:p>
    <w:p>
      <w:pPr>
        <w:widowControl/>
        <w:autoSpaceDE w:val="0"/>
        <w:autoSpaceDN w:val="0"/>
        <w:adjustRightInd w:val="0"/>
        <w:spacing w:line="400" w:lineRule="exact"/>
        <w:ind w:firstLine="315" w:firstLineChars="150"/>
        <w:jc w:val="left"/>
        <w:rPr>
          <w:rFonts w:ascii="宋体" w:hAnsi="宋体"/>
          <w:szCs w:val="21"/>
        </w:rPr>
      </w:pPr>
      <w:r>
        <w:rPr>
          <w:rFonts w:ascii="宋体" w:hAnsi="宋体"/>
          <w:szCs w:val="21"/>
        </w:rPr>
        <w:t>（1）</w:t>
      </w:r>
      <w:r>
        <w:rPr>
          <w:rFonts w:hint="eastAsia" w:ascii="宋体" w:hAnsi="宋体"/>
          <w:szCs w:val="21"/>
        </w:rPr>
        <w:t>合同</w:t>
      </w:r>
      <w:r>
        <w:rPr>
          <w:rFonts w:ascii="宋体" w:hAnsi="宋体"/>
          <w:szCs w:val="21"/>
        </w:rPr>
        <w:t>协议书；</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（2）中标通知书；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（3）投标函及其附录；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（4）专用合同条款及其附件；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 xml:space="preserve">（5）通用合同条款； </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（6）</w:t>
      </w:r>
      <w:r>
        <w:rPr>
          <w:rFonts w:hint="eastAsia" w:ascii="宋体" w:hAnsi="宋体"/>
          <w:szCs w:val="21"/>
        </w:rPr>
        <w:t>比选文件</w:t>
      </w:r>
      <w:r>
        <w:rPr>
          <w:rFonts w:ascii="宋体" w:hAnsi="宋体"/>
          <w:szCs w:val="21"/>
        </w:rPr>
        <w:t>；</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（7）</w:t>
      </w:r>
      <w:r>
        <w:rPr>
          <w:rFonts w:hint="eastAsia" w:ascii="宋体" w:hAnsi="宋体"/>
          <w:szCs w:val="21"/>
        </w:rPr>
        <w:t>投标文件</w:t>
      </w:r>
      <w:r>
        <w:rPr>
          <w:rFonts w:ascii="宋体" w:hAnsi="宋体"/>
          <w:szCs w:val="21"/>
        </w:rPr>
        <w:t>；</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（8）技术标准和要求；</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（九）</w:t>
      </w:r>
      <w:r>
        <w:rPr>
          <w:rFonts w:ascii="宋体" w:hAnsi="宋体"/>
          <w:szCs w:val="21"/>
        </w:rPr>
        <w:t>图纸；</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（十）</w:t>
      </w:r>
      <w:r>
        <w:rPr>
          <w:rFonts w:ascii="宋体" w:hAnsi="宋体"/>
          <w:szCs w:val="21"/>
        </w:rPr>
        <w:t>已标价工程量清单</w:t>
      </w:r>
      <w:r>
        <w:rPr>
          <w:rFonts w:hint="eastAsia" w:ascii="宋体" w:hAnsi="宋体"/>
          <w:szCs w:val="21"/>
        </w:rPr>
        <w:t>；</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（十一）</w:t>
      </w:r>
      <w:r>
        <w:rPr>
          <w:rFonts w:ascii="宋体" w:hAnsi="宋体"/>
          <w:szCs w:val="21"/>
        </w:rPr>
        <w:t>其他合同文件。</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（十二）</w:t>
      </w:r>
      <w:r>
        <w:rPr>
          <w:rFonts w:ascii="宋体" w:hAnsi="宋体"/>
          <w:szCs w:val="21"/>
        </w:rPr>
        <w:t>在合同订立及履行过程中形成的与合同有关的文件均构成合同文件组成部分。</w:t>
      </w:r>
    </w:p>
    <w:p>
      <w:pPr>
        <w:widowControl/>
        <w:spacing w:line="400" w:lineRule="exact"/>
        <w:ind w:firstLine="420" w:firstLineChars="200"/>
        <w:jc w:val="left"/>
        <w:rPr>
          <w:szCs w:val="21"/>
        </w:rPr>
      </w:pPr>
      <w:r>
        <w:rPr>
          <w:rFonts w:ascii="宋体" w:hAnsi="宋体"/>
          <w:szCs w:val="21"/>
        </w:rPr>
        <w:t>上述各项合同文件包括合同当事人就该项合同文件所作出的补充和修改，属于同一类内容的文件，应以最新签署的为准。</w:t>
      </w:r>
    </w:p>
    <w:p>
      <w:pPr>
        <w:widowControl/>
        <w:spacing w:line="400" w:lineRule="exact"/>
        <w:ind w:firstLine="420" w:firstLineChars="200"/>
        <w:jc w:val="left"/>
        <w:rPr>
          <w:rFonts w:ascii="宋体" w:hAnsi="宋体"/>
          <w:szCs w:val="21"/>
        </w:rPr>
      </w:pPr>
      <w:r>
        <w:rPr>
          <w:rFonts w:ascii="宋体" w:hAnsi="宋体"/>
          <w:szCs w:val="21"/>
        </w:rPr>
        <w:t>1.6 图纸和承包人文件</w:t>
      </w:r>
      <w:r>
        <w:rPr>
          <w:rFonts w:ascii="宋体" w:hAnsi="宋体"/>
          <w:szCs w:val="21"/>
        </w:rPr>
        <w:tab/>
      </w:r>
    </w:p>
    <w:p>
      <w:pPr>
        <w:widowControl/>
        <w:spacing w:line="400" w:lineRule="exact"/>
        <w:ind w:firstLine="420" w:firstLineChars="200"/>
        <w:jc w:val="left"/>
        <w:rPr>
          <w:rFonts w:ascii="宋体" w:hAnsi="宋体"/>
          <w:szCs w:val="21"/>
        </w:rPr>
      </w:pPr>
      <w:r>
        <w:rPr>
          <w:rFonts w:ascii="宋体" w:hAnsi="宋体"/>
          <w:szCs w:val="21"/>
        </w:rPr>
        <w:t>1.6.1 图纸的提供</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发包人提供图纸的期限、数量：</w:t>
      </w:r>
      <w:r>
        <w:rPr>
          <w:rFonts w:hint="eastAsia" w:ascii="宋体" w:hAnsi="宋体"/>
          <w:szCs w:val="21"/>
          <w:u w:val="single"/>
        </w:rPr>
        <w:t>合同签订后，提供二套施工图</w:t>
      </w:r>
      <w:r>
        <w:rPr>
          <w:rFonts w:hint="eastAsia" w:ascii="宋体" w:hAnsi="宋体"/>
          <w:szCs w:val="21"/>
        </w:rPr>
        <w:t>。</w:t>
      </w:r>
    </w:p>
    <w:p>
      <w:pPr>
        <w:widowControl/>
        <w:tabs>
          <w:tab w:val="left" w:pos="-360"/>
          <w:tab w:val="left" w:pos="0"/>
        </w:tabs>
        <w:adjustRightInd w:val="0"/>
        <w:snapToGrid w:val="0"/>
        <w:spacing w:line="400" w:lineRule="exact"/>
        <w:ind w:firstLine="420" w:firstLineChars="200"/>
        <w:jc w:val="left"/>
        <w:rPr>
          <w:rFonts w:ascii="宋体" w:hAnsi="宋体"/>
          <w:szCs w:val="21"/>
        </w:rPr>
      </w:pPr>
      <w:r>
        <w:rPr>
          <w:rFonts w:hint="eastAsia" w:ascii="宋体" w:hAnsi="宋体"/>
          <w:szCs w:val="21"/>
        </w:rPr>
        <w:t>图纸会审和设计交底的时间：</w:t>
      </w:r>
      <w:r>
        <w:rPr>
          <w:rFonts w:hint="eastAsia" w:ascii="宋体" w:hAnsi="宋体"/>
          <w:szCs w:val="21"/>
          <w:u w:val="single"/>
        </w:rPr>
        <w:t>按发包人要求</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1.6.2承包人提供的文件</w:t>
      </w:r>
    </w:p>
    <w:p>
      <w:pPr>
        <w:widowControl/>
        <w:spacing w:line="400" w:lineRule="exact"/>
        <w:ind w:firstLine="420" w:firstLineChars="200"/>
        <w:jc w:val="left"/>
        <w:rPr>
          <w:rFonts w:ascii="宋体" w:hAnsi="宋体"/>
          <w:szCs w:val="21"/>
        </w:rPr>
      </w:pPr>
      <w:r>
        <w:rPr>
          <w:rFonts w:hint="eastAsia" w:ascii="宋体" w:hAnsi="宋体"/>
          <w:szCs w:val="21"/>
        </w:rPr>
        <w:t>施工组织设计、专项施工方案、安全应急方案、进度计划、月报表及计划、周报表及计划（抢工阶段</w:t>
      </w:r>
      <w:r>
        <w:rPr>
          <w:rFonts w:ascii="宋体" w:hAnsi="宋体"/>
          <w:szCs w:val="21"/>
        </w:rPr>
        <w:t>需编制</w:t>
      </w:r>
      <w:r>
        <w:rPr>
          <w:rFonts w:hint="eastAsia" w:ascii="宋体" w:hAnsi="宋体"/>
          <w:szCs w:val="21"/>
        </w:rPr>
        <w:t>）、</w:t>
      </w:r>
      <w:r>
        <w:rPr>
          <w:rFonts w:hint="eastAsia"/>
          <w:szCs w:val="21"/>
        </w:rPr>
        <w:t>甲供材料设备需求计划（若</w:t>
      </w:r>
      <w:r>
        <w:rPr>
          <w:szCs w:val="21"/>
        </w:rPr>
        <w:t>有甲供材</w:t>
      </w:r>
      <w:r>
        <w:rPr>
          <w:rFonts w:hint="eastAsia"/>
          <w:szCs w:val="21"/>
        </w:rPr>
        <w:t>）、</w:t>
      </w:r>
      <w:r>
        <w:rPr>
          <w:rFonts w:hint="eastAsia" w:ascii="宋体" w:hAnsi="宋体"/>
          <w:szCs w:val="21"/>
        </w:rPr>
        <w:t>竣工资料及施工过程中因工程变更需要报送的施工方案、施工过程中涉及工程价款变更的相关资料、完整的竣工结算资料及为发包人准备一套技术标准、规范等。</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承包人提供文件的期限、数量：</w:t>
      </w:r>
    </w:p>
    <w:p>
      <w:pPr>
        <w:widowControl/>
        <w:adjustRightInd w:val="0"/>
        <w:snapToGrid w:val="0"/>
        <w:spacing w:line="400" w:lineRule="exact"/>
        <w:ind w:firstLine="480"/>
        <w:jc w:val="left"/>
        <w:rPr>
          <w:rFonts w:ascii="宋体" w:hAnsi="宋体"/>
          <w:szCs w:val="21"/>
        </w:rPr>
      </w:pPr>
      <w:r>
        <w:rPr>
          <w:rFonts w:hint="eastAsia" w:ascii="宋体" w:hAnsi="宋体"/>
          <w:szCs w:val="21"/>
        </w:rPr>
        <w:t>1.每月</w:t>
      </w:r>
      <w:r>
        <w:rPr>
          <w:rFonts w:ascii="宋体" w:hAnsi="宋体"/>
          <w:szCs w:val="21"/>
          <w:u w:val="single"/>
        </w:rPr>
        <w:t>25</w:t>
      </w:r>
      <w:r>
        <w:rPr>
          <w:rFonts w:hint="eastAsia" w:ascii="宋体" w:hAnsi="宋体"/>
          <w:szCs w:val="21"/>
        </w:rPr>
        <w:t>日报送本月工程进度完成报表、次月工程进度计划并作为每月拨付进度款的依据，季末月</w:t>
      </w:r>
      <w:r>
        <w:rPr>
          <w:rFonts w:ascii="宋体" w:hAnsi="宋体"/>
          <w:szCs w:val="21"/>
          <w:u w:val="single"/>
        </w:rPr>
        <w:t>25</w:t>
      </w:r>
      <w:r>
        <w:rPr>
          <w:rFonts w:hint="eastAsia" w:ascii="宋体" w:hAnsi="宋体"/>
          <w:szCs w:val="21"/>
        </w:rPr>
        <w:t>日报下季度进度计划和本季工程进度完成报表一式三份（发包人</w:t>
      </w:r>
      <w:r>
        <w:rPr>
          <w:rFonts w:ascii="宋体" w:hAnsi="宋体"/>
          <w:szCs w:val="21"/>
        </w:rPr>
        <w:t>、</w:t>
      </w:r>
      <w:r>
        <w:rPr>
          <w:rFonts w:hint="eastAsia" w:ascii="宋体" w:hAnsi="宋体"/>
          <w:szCs w:val="21"/>
        </w:rPr>
        <w:t>监理、造价</w:t>
      </w:r>
      <w:r>
        <w:rPr>
          <w:rFonts w:ascii="宋体" w:hAnsi="宋体"/>
          <w:szCs w:val="21"/>
        </w:rPr>
        <w:t>咨询机构</w:t>
      </w:r>
      <w:r>
        <w:rPr>
          <w:rFonts w:hint="eastAsia" w:ascii="宋体" w:hAnsi="宋体"/>
          <w:szCs w:val="21"/>
        </w:rPr>
        <w:t>各</w:t>
      </w:r>
      <w:r>
        <w:rPr>
          <w:rFonts w:ascii="宋体" w:hAnsi="宋体"/>
          <w:szCs w:val="21"/>
        </w:rPr>
        <w:t>一份</w:t>
      </w:r>
      <w:r>
        <w:rPr>
          <w:rFonts w:hint="eastAsia" w:ascii="宋体" w:hAnsi="宋体"/>
          <w:szCs w:val="21"/>
        </w:rPr>
        <w:t>）。（注：工程进度报表必须如实填报，进度计划必须合理）</w:t>
      </w:r>
    </w:p>
    <w:p>
      <w:pPr>
        <w:widowControl/>
        <w:adjustRightInd w:val="0"/>
        <w:snapToGrid w:val="0"/>
        <w:spacing w:line="400" w:lineRule="exact"/>
        <w:ind w:firstLine="525" w:firstLineChars="250"/>
        <w:jc w:val="left"/>
        <w:rPr>
          <w:rFonts w:ascii="宋体" w:hAnsi="宋体"/>
          <w:szCs w:val="21"/>
        </w:rPr>
      </w:pPr>
      <w:r>
        <w:rPr>
          <w:rFonts w:ascii="宋体" w:hAnsi="宋体"/>
          <w:szCs w:val="21"/>
        </w:rPr>
        <w:t>2</w:t>
      </w:r>
      <w:r>
        <w:rPr>
          <w:rFonts w:hint="eastAsia" w:ascii="宋体" w:hAnsi="宋体"/>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pPr>
        <w:widowControl/>
        <w:adjustRightInd w:val="0"/>
        <w:snapToGrid w:val="0"/>
        <w:spacing w:line="400" w:lineRule="exact"/>
        <w:ind w:firstLine="525" w:firstLineChars="250"/>
        <w:jc w:val="left"/>
        <w:rPr>
          <w:rFonts w:ascii="宋体" w:hAnsi="宋体"/>
          <w:szCs w:val="21"/>
        </w:rPr>
      </w:pPr>
      <w:r>
        <w:rPr>
          <w:rFonts w:ascii="宋体" w:hAnsi="宋体"/>
          <w:szCs w:val="21"/>
        </w:rPr>
        <w:t>3.</w:t>
      </w:r>
      <w:r>
        <w:rPr>
          <w:rFonts w:hint="eastAsia" w:ascii="宋体" w:hAnsi="宋体"/>
          <w:szCs w:val="21"/>
        </w:rPr>
        <w:t>监理人批复承包人提供文件的期限：施工组织设计和进度计划在收到报送</w:t>
      </w:r>
      <w:r>
        <w:rPr>
          <w:rFonts w:ascii="宋体" w:hAnsi="宋体"/>
          <w:szCs w:val="21"/>
        </w:rPr>
        <w:t>资料</w:t>
      </w:r>
      <w:r>
        <w:rPr>
          <w:rFonts w:hint="eastAsia" w:ascii="宋体" w:hAnsi="宋体"/>
          <w:szCs w:val="21"/>
        </w:rPr>
        <w:t>后五个工作日内审查确认，月进度报表及次月工程进度计划在</w:t>
      </w:r>
      <w:r>
        <w:rPr>
          <w:rFonts w:ascii="宋体" w:hAnsi="宋体"/>
          <w:szCs w:val="21"/>
        </w:rPr>
        <w:t>收到报送资料后</w:t>
      </w:r>
      <w:r>
        <w:rPr>
          <w:rFonts w:hint="eastAsia" w:ascii="宋体" w:hAnsi="宋体"/>
          <w:szCs w:val="21"/>
        </w:rPr>
        <w:t>二个工作日内审批</w:t>
      </w:r>
      <w:r>
        <w:rPr>
          <w:rFonts w:ascii="宋体" w:hAnsi="宋体"/>
          <w:szCs w:val="21"/>
        </w:rPr>
        <w:t>完毕</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1.6.3图纸的修改</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工程若有变更，监理人，在征得发包人同意后，在该工程或工程相应部位施工前14天将修改图纸签发给承包人，承包人按修改后的图纸施工。</w:t>
      </w:r>
    </w:p>
    <w:p>
      <w:pPr>
        <w:widowControl/>
        <w:spacing w:line="400" w:lineRule="exact"/>
        <w:ind w:firstLine="420" w:firstLineChars="200"/>
        <w:jc w:val="left"/>
        <w:rPr>
          <w:rFonts w:ascii="宋体" w:hAnsi="宋体"/>
          <w:szCs w:val="21"/>
        </w:rPr>
      </w:pPr>
      <w:r>
        <w:rPr>
          <w:rFonts w:ascii="宋体" w:hAnsi="宋体"/>
          <w:szCs w:val="21"/>
        </w:rPr>
        <w:t>1.6.4 承包人文件</w:t>
      </w:r>
    </w:p>
    <w:p>
      <w:pPr>
        <w:widowControl/>
        <w:snapToGrid w:val="0"/>
        <w:spacing w:line="400" w:lineRule="exact"/>
        <w:ind w:firstLine="420" w:firstLineChars="200"/>
        <w:jc w:val="left"/>
        <w:rPr>
          <w:rFonts w:ascii="宋体" w:hAnsi="宋体"/>
          <w:szCs w:val="21"/>
        </w:rPr>
      </w:pPr>
      <w:r>
        <w:rPr>
          <w:rFonts w:ascii="宋体" w:hAnsi="宋体"/>
          <w:szCs w:val="21"/>
        </w:rPr>
        <w:t>需要由承包人提供的文件，包括：</w:t>
      </w:r>
      <w:r>
        <w:rPr>
          <w:rFonts w:hint="eastAsia" w:ascii="宋体" w:hAnsi="宋体"/>
          <w:szCs w:val="21"/>
        </w:rPr>
        <w:t>施工组织设计、施工图尺寸位置与现场复核的情况。</w:t>
      </w:r>
    </w:p>
    <w:p>
      <w:pPr>
        <w:widowControl/>
        <w:spacing w:line="400" w:lineRule="exact"/>
        <w:ind w:firstLine="420" w:firstLineChars="200"/>
        <w:jc w:val="left"/>
        <w:rPr>
          <w:rFonts w:ascii="宋体" w:hAnsi="宋体"/>
          <w:szCs w:val="21"/>
        </w:rPr>
      </w:pPr>
      <w:r>
        <w:rPr>
          <w:rFonts w:ascii="宋体" w:hAnsi="宋体"/>
          <w:szCs w:val="21"/>
        </w:rPr>
        <w:t>承包人提供的文件的期限为：</w:t>
      </w:r>
      <w:r>
        <w:rPr>
          <w:rFonts w:hint="eastAsia" w:ascii="宋体" w:hAnsi="宋体"/>
          <w:szCs w:val="21"/>
          <w:u w:val="single"/>
        </w:rPr>
        <w:t>按发包人要求</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1.7 联络</w:t>
      </w:r>
    </w:p>
    <w:p>
      <w:pPr>
        <w:widowControl/>
        <w:spacing w:line="400" w:lineRule="exact"/>
        <w:ind w:firstLine="420" w:firstLineChars="200"/>
        <w:jc w:val="left"/>
        <w:rPr>
          <w:rFonts w:ascii="宋体" w:hAnsi="宋体"/>
          <w:kern w:val="0"/>
          <w:szCs w:val="21"/>
        </w:rPr>
      </w:pPr>
      <w:r>
        <w:rPr>
          <w:rFonts w:ascii="宋体" w:hAnsi="宋体"/>
          <w:kern w:val="0"/>
          <w:szCs w:val="21"/>
        </w:rPr>
        <w:t>1.7.1发包人和承包人将与合同有关的通知、批准、证明、证书、指示、指令、要求、请求、同意、意见、确定和决定等书面函件</w:t>
      </w:r>
      <w:r>
        <w:rPr>
          <w:rFonts w:hint="eastAsia" w:ascii="宋体" w:hAnsi="宋体"/>
          <w:kern w:val="0"/>
          <w:szCs w:val="21"/>
        </w:rPr>
        <w:t>可通过电子邮件、邮寄或者当面</w:t>
      </w:r>
      <w:r>
        <w:rPr>
          <w:rFonts w:ascii="宋体" w:hAnsi="宋体"/>
          <w:kern w:val="0"/>
          <w:szCs w:val="21"/>
        </w:rPr>
        <w:t>送达对方当事人</w:t>
      </w:r>
      <w:r>
        <w:rPr>
          <w:rFonts w:hint="eastAsia" w:ascii="宋体" w:hAnsi="宋体"/>
          <w:kern w:val="0"/>
          <w:szCs w:val="21"/>
        </w:rPr>
        <w:t>。</w:t>
      </w:r>
    </w:p>
    <w:p>
      <w:pPr>
        <w:widowControl/>
        <w:spacing w:line="400" w:lineRule="exact"/>
        <w:ind w:firstLine="420" w:firstLineChars="200"/>
        <w:jc w:val="left"/>
        <w:rPr>
          <w:rFonts w:ascii="宋体" w:hAnsi="宋体"/>
          <w:kern w:val="0"/>
          <w:szCs w:val="21"/>
        </w:rPr>
      </w:pPr>
      <w:r>
        <w:rPr>
          <w:rFonts w:hint="eastAsia" w:ascii="宋体" w:hAnsi="宋体"/>
          <w:kern w:val="0"/>
          <w:szCs w:val="21"/>
        </w:rPr>
        <w:t>发包人联系人信息以本合同约定的发包人代表信息为准；</w:t>
      </w:r>
    </w:p>
    <w:p>
      <w:pPr>
        <w:widowControl/>
        <w:spacing w:line="400" w:lineRule="exact"/>
        <w:ind w:firstLine="420" w:firstLineChars="200"/>
        <w:jc w:val="left"/>
        <w:rPr>
          <w:rFonts w:ascii="宋体" w:hAnsi="宋体"/>
          <w:kern w:val="0"/>
          <w:szCs w:val="21"/>
        </w:rPr>
      </w:pPr>
      <w:r>
        <w:rPr>
          <w:rFonts w:hint="eastAsia" w:ascii="宋体" w:hAnsi="宋体"/>
          <w:kern w:val="0"/>
          <w:szCs w:val="21"/>
        </w:rPr>
        <w:t>承包人联系人信息以本合同约定的承包人的项目经理信息为准；</w:t>
      </w:r>
    </w:p>
    <w:p>
      <w:pPr>
        <w:widowControl/>
        <w:spacing w:line="400" w:lineRule="exact"/>
        <w:ind w:firstLine="420" w:firstLineChars="200"/>
        <w:jc w:val="left"/>
        <w:rPr>
          <w:rFonts w:ascii="宋体" w:hAnsi="宋体"/>
          <w:kern w:val="0"/>
          <w:szCs w:val="21"/>
        </w:rPr>
      </w:pPr>
      <w:r>
        <w:rPr>
          <w:rFonts w:hint="eastAsia" w:ascii="宋体" w:hAnsi="宋体"/>
          <w:kern w:val="0"/>
          <w:szCs w:val="21"/>
        </w:rPr>
        <w:t>任何一方合同当事人按照联系人信息送达相关文件，均视为送达。非因送达人原因致使未接收的，其责任由受送达人承担。</w:t>
      </w:r>
    </w:p>
    <w:p>
      <w:pPr>
        <w:widowControl/>
        <w:adjustRightInd w:val="0"/>
        <w:snapToGrid w:val="0"/>
        <w:spacing w:line="400" w:lineRule="exact"/>
        <w:ind w:firstLine="420" w:firstLineChars="200"/>
        <w:jc w:val="left"/>
        <w:rPr>
          <w:rFonts w:ascii="宋体" w:hAnsi="宋体"/>
          <w:szCs w:val="21"/>
        </w:rPr>
      </w:pPr>
      <w:bookmarkStart w:id="339" w:name="_Toc318581157"/>
      <w:r>
        <w:rPr>
          <w:rFonts w:ascii="宋体" w:hAnsi="宋体"/>
          <w:szCs w:val="21"/>
        </w:rPr>
        <w:t>1.10.4超大件和超重件的运输</w:t>
      </w:r>
    </w:p>
    <w:p>
      <w:pPr>
        <w:widowControl/>
        <w:adjustRightInd w:val="0"/>
        <w:snapToGrid w:val="0"/>
        <w:spacing w:line="400" w:lineRule="exact"/>
        <w:ind w:firstLine="315" w:firstLineChars="150"/>
        <w:jc w:val="left"/>
        <w:rPr>
          <w:rFonts w:ascii="宋体" w:hAnsi="宋体"/>
          <w:b/>
          <w:szCs w:val="21"/>
        </w:rPr>
      </w:pPr>
      <w:r>
        <w:rPr>
          <w:rFonts w:ascii="宋体" w:hAnsi="宋体"/>
          <w:szCs w:val="21"/>
        </w:rPr>
        <w:t>运输超大件或超重件所需的道路和桥梁临时加固改造费用和其他有关费用由</w:t>
      </w:r>
      <w:r>
        <w:rPr>
          <w:rFonts w:hint="eastAsia" w:ascii="宋体" w:hAnsi="宋体"/>
          <w:szCs w:val="21"/>
        </w:rPr>
        <w:t>承包人自行考虑，费用综合考虑在投标报价中。</w:t>
      </w:r>
    </w:p>
    <w:bookmarkEnd w:id="339"/>
    <w:p>
      <w:pPr>
        <w:widowControl/>
        <w:spacing w:line="400" w:lineRule="exact"/>
        <w:ind w:firstLine="420" w:firstLineChars="200"/>
        <w:jc w:val="left"/>
        <w:rPr>
          <w:rFonts w:ascii="宋体" w:hAnsi="宋体"/>
          <w:szCs w:val="21"/>
        </w:rPr>
      </w:pPr>
      <w:r>
        <w:rPr>
          <w:rFonts w:ascii="宋体" w:hAnsi="宋体"/>
          <w:szCs w:val="21"/>
        </w:rPr>
        <w:t>1.13工程量清单错误的修正</w:t>
      </w:r>
    </w:p>
    <w:p>
      <w:pPr>
        <w:widowControl/>
        <w:spacing w:line="400" w:lineRule="exact"/>
        <w:ind w:firstLine="420" w:firstLineChars="200"/>
        <w:jc w:val="left"/>
        <w:rPr>
          <w:rFonts w:ascii="宋体" w:hAnsi="宋体"/>
          <w:szCs w:val="21"/>
        </w:rPr>
      </w:pPr>
      <w:r>
        <w:rPr>
          <w:rFonts w:hint="eastAsia" w:ascii="宋体" w:hAnsi="宋体"/>
          <w:szCs w:val="21"/>
        </w:rPr>
        <w:t>出现工程量清单缺项、漏项或者错误时，是否调整合同价格：</w:t>
      </w:r>
      <w:r>
        <w:rPr>
          <w:rFonts w:hint="eastAsia" w:ascii="宋体" w:hAnsi="宋体"/>
          <w:szCs w:val="21"/>
          <w:u w:val="single"/>
        </w:rPr>
        <w:t>是</w:t>
      </w:r>
      <w:r>
        <w:rPr>
          <w:rFonts w:ascii="宋体" w:hAnsi="宋体"/>
          <w:kern w:val="0"/>
          <w:szCs w:val="21"/>
        </w:rPr>
        <w:t>。</w:t>
      </w:r>
    </w:p>
    <w:p>
      <w:pPr>
        <w:widowControl/>
        <w:spacing w:line="400" w:lineRule="exact"/>
        <w:ind w:firstLine="420" w:firstLineChars="200"/>
        <w:jc w:val="left"/>
        <w:rPr>
          <w:rFonts w:ascii="宋体" w:hAnsi="宋体"/>
          <w:szCs w:val="21"/>
          <w:u w:val="single"/>
        </w:rPr>
      </w:pPr>
      <w:r>
        <w:rPr>
          <w:rFonts w:ascii="宋体" w:hAnsi="宋体"/>
          <w:szCs w:val="21"/>
        </w:rPr>
        <w:t>允许调整合同价格的工程量偏差范围：</w:t>
      </w:r>
      <w:r>
        <w:rPr>
          <w:rFonts w:hint="eastAsia" w:ascii="宋体" w:hAnsi="宋体"/>
          <w:szCs w:val="21"/>
          <w:u w:val="single"/>
        </w:rPr>
        <w:t>\</w:t>
      </w:r>
      <w:r>
        <w:rPr>
          <w:rFonts w:ascii="宋体" w:hAnsi="宋体"/>
          <w:kern w:val="0"/>
          <w:szCs w:val="21"/>
        </w:rPr>
        <w:t>。</w:t>
      </w:r>
    </w:p>
    <w:p>
      <w:pPr>
        <w:widowControl/>
        <w:autoSpaceDE w:val="0"/>
        <w:autoSpaceDN w:val="0"/>
        <w:adjustRightInd w:val="0"/>
        <w:spacing w:line="400" w:lineRule="exact"/>
        <w:ind w:firstLine="422" w:firstLineChars="200"/>
        <w:outlineLvl w:val="3"/>
        <w:rPr>
          <w:rFonts w:ascii="宋体" w:hAnsi="宋体" w:cs="MingLiU"/>
          <w:b/>
          <w:szCs w:val="21"/>
        </w:rPr>
      </w:pPr>
      <w:bookmarkStart w:id="340" w:name="_Toc351203634"/>
      <w:r>
        <w:rPr>
          <w:rFonts w:ascii="宋体" w:hAnsi="宋体"/>
          <w:b/>
          <w:szCs w:val="21"/>
        </w:rPr>
        <w:t>2</w:t>
      </w:r>
      <w:bookmarkStart w:id="341" w:name="_Toc296944496"/>
      <w:bookmarkStart w:id="342" w:name="_Toc296890985"/>
      <w:bookmarkStart w:id="343" w:name="_Toc297120457"/>
      <w:bookmarkStart w:id="344" w:name="_Toc296891197"/>
      <w:bookmarkStart w:id="345" w:name="_Toc296503157"/>
      <w:bookmarkStart w:id="346" w:name="_Toc297048343"/>
      <w:bookmarkStart w:id="347" w:name="_Toc296346658"/>
      <w:bookmarkStart w:id="348" w:name="_Toc296347156"/>
      <w:bookmarkStart w:id="349" w:name="_Toc292559867"/>
      <w:bookmarkStart w:id="350" w:name="_Toc292559362"/>
      <w:r>
        <w:rPr>
          <w:rFonts w:ascii="宋体" w:hAnsi="宋体"/>
          <w:b/>
          <w:szCs w:val="21"/>
        </w:rPr>
        <w:t>. 发包人</w:t>
      </w:r>
      <w:bookmarkEnd w:id="340"/>
    </w:p>
    <w:bookmarkEnd w:id="341"/>
    <w:bookmarkEnd w:id="342"/>
    <w:bookmarkEnd w:id="343"/>
    <w:bookmarkEnd w:id="344"/>
    <w:bookmarkEnd w:id="345"/>
    <w:bookmarkEnd w:id="346"/>
    <w:bookmarkEnd w:id="347"/>
    <w:bookmarkEnd w:id="348"/>
    <w:bookmarkEnd w:id="349"/>
    <w:bookmarkEnd w:id="350"/>
    <w:p>
      <w:pPr>
        <w:widowControl/>
        <w:spacing w:line="400" w:lineRule="exact"/>
        <w:ind w:firstLine="420" w:firstLineChars="200"/>
        <w:jc w:val="left"/>
        <w:rPr>
          <w:rFonts w:ascii="宋体" w:hAnsi="宋体"/>
          <w:szCs w:val="21"/>
        </w:rPr>
      </w:pPr>
      <w:r>
        <w:rPr>
          <w:rFonts w:ascii="宋体" w:hAnsi="宋体"/>
          <w:szCs w:val="21"/>
        </w:rPr>
        <w:t>2.2 发包人代表</w:t>
      </w:r>
    </w:p>
    <w:p>
      <w:pPr>
        <w:widowControl/>
        <w:spacing w:line="400" w:lineRule="exact"/>
        <w:ind w:firstLine="420" w:firstLineChars="200"/>
        <w:jc w:val="left"/>
        <w:rPr>
          <w:rFonts w:ascii="宋体" w:hAnsi="宋体"/>
          <w:szCs w:val="21"/>
        </w:rPr>
      </w:pPr>
      <w:r>
        <w:rPr>
          <w:rFonts w:ascii="宋体" w:hAnsi="宋体"/>
          <w:szCs w:val="21"/>
        </w:rPr>
        <w:t>发包人代表：</w:t>
      </w:r>
    </w:p>
    <w:p>
      <w:pPr>
        <w:widowControl/>
        <w:spacing w:line="400" w:lineRule="exact"/>
        <w:ind w:firstLine="420" w:firstLineChars="200"/>
        <w:jc w:val="left"/>
        <w:rPr>
          <w:rFonts w:ascii="宋体" w:hAnsi="宋体"/>
          <w:szCs w:val="21"/>
        </w:rPr>
      </w:pPr>
      <w:r>
        <w:rPr>
          <w:rFonts w:ascii="宋体" w:hAnsi="宋体"/>
          <w:szCs w:val="21"/>
        </w:rPr>
        <w:t>姓    名：；</w:t>
      </w:r>
    </w:p>
    <w:p>
      <w:pPr>
        <w:widowControl/>
        <w:spacing w:line="400" w:lineRule="exact"/>
        <w:ind w:firstLine="420" w:firstLineChars="200"/>
        <w:jc w:val="left"/>
        <w:rPr>
          <w:rFonts w:ascii="宋体" w:hAnsi="宋体"/>
          <w:szCs w:val="21"/>
        </w:rPr>
      </w:pPr>
      <w:r>
        <w:rPr>
          <w:rFonts w:ascii="宋体" w:hAnsi="宋体"/>
          <w:szCs w:val="21"/>
        </w:rPr>
        <w:t>联系电话：；</w:t>
      </w:r>
    </w:p>
    <w:p>
      <w:pPr>
        <w:widowControl/>
        <w:spacing w:line="400" w:lineRule="exact"/>
        <w:ind w:firstLine="420" w:firstLineChars="200"/>
        <w:jc w:val="left"/>
        <w:rPr>
          <w:rFonts w:ascii="宋体" w:hAnsi="宋体"/>
          <w:szCs w:val="21"/>
        </w:rPr>
      </w:pPr>
      <w:r>
        <w:rPr>
          <w:rFonts w:ascii="宋体" w:hAnsi="宋体"/>
          <w:szCs w:val="21"/>
        </w:rPr>
        <w:t>电子信箱：</w:t>
      </w:r>
      <w:r>
        <w:rPr>
          <w:rFonts w:ascii="宋体" w:hAnsi="宋体"/>
          <w:szCs w:val="21"/>
          <w:u w:val="single"/>
        </w:rPr>
        <w:t xml:space="preserve">  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通信地址：</w:t>
      </w:r>
      <w:r>
        <w:rPr>
          <w:rFonts w:hint="eastAsia" w:ascii="宋体" w:hAnsi="宋体"/>
          <w:szCs w:val="21"/>
        </w:rPr>
        <w:t>重庆市北碚区水土街道云汉大道</w:t>
      </w:r>
      <w:r>
        <w:rPr>
          <w:rFonts w:ascii="宋体" w:hAnsi="宋体"/>
          <w:szCs w:val="21"/>
        </w:rPr>
        <w:t>117号。</w:t>
      </w:r>
    </w:p>
    <w:p>
      <w:pPr>
        <w:widowControl/>
        <w:spacing w:line="400" w:lineRule="exact"/>
        <w:ind w:firstLine="420" w:firstLineChars="200"/>
        <w:jc w:val="left"/>
        <w:rPr>
          <w:rFonts w:ascii="宋体" w:hAnsi="宋体"/>
          <w:szCs w:val="21"/>
          <w:u w:val="single"/>
        </w:rPr>
      </w:pPr>
      <w:r>
        <w:rPr>
          <w:rFonts w:ascii="宋体" w:hAnsi="宋体"/>
          <w:szCs w:val="21"/>
        </w:rPr>
        <w:t>发包人对发包人代表的授权范围如下：</w:t>
      </w:r>
      <w:r>
        <w:rPr>
          <w:rFonts w:hint="eastAsia"/>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pPr>
        <w:widowControl/>
        <w:spacing w:line="400" w:lineRule="exact"/>
        <w:ind w:firstLine="420" w:firstLineChars="200"/>
        <w:jc w:val="left"/>
        <w:rPr>
          <w:rFonts w:ascii="宋体" w:hAnsi="宋体"/>
          <w:szCs w:val="21"/>
        </w:rPr>
      </w:pPr>
      <w:r>
        <w:rPr>
          <w:rFonts w:ascii="宋体" w:hAnsi="宋体"/>
          <w:szCs w:val="21"/>
        </w:rPr>
        <w:t>2.4 施工现场、施工条件和基础资料的提供</w:t>
      </w:r>
    </w:p>
    <w:p>
      <w:pPr>
        <w:widowControl/>
        <w:adjustRightInd w:val="0"/>
        <w:snapToGrid w:val="0"/>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.4.2发包人提供施工条件：</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2.4.2.1施工场地具备施工条件的要求及完成的时间：</w:t>
      </w:r>
      <w:r>
        <w:rPr>
          <w:rFonts w:hint="eastAsia" w:ascii="宋体" w:hAnsi="宋体"/>
          <w:szCs w:val="21"/>
          <w:u w:val="single"/>
        </w:rPr>
        <w:t>满足施工要求</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2.4.2.2施工场地与公共道路的通道开通时间和要求：</w:t>
      </w:r>
      <w:r>
        <w:rPr>
          <w:rFonts w:hint="eastAsia" w:ascii="宋体" w:hAnsi="宋体"/>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2.4.3提供基础资料</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2.4.3.1工程地质资料和地下管线资料的提供时间：移交施工现场前五日内。</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Pr>
          <w:rFonts w:ascii="宋体" w:hAnsi="宋体"/>
          <w:szCs w:val="21"/>
        </w:rPr>
        <w:t>发包人</w:t>
      </w:r>
      <w:r>
        <w:rPr>
          <w:rFonts w:hint="eastAsia" w:ascii="宋体" w:hAnsi="宋体"/>
          <w:szCs w:val="21"/>
        </w:rPr>
        <w:t>批准后方可实施，费用由发包人根据实际情况承担。</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w:t>
      </w:r>
      <w:r>
        <w:rPr>
          <w:rFonts w:ascii="宋体" w:hAnsi="宋体"/>
          <w:szCs w:val="21"/>
        </w:rPr>
        <w:t>4</w:t>
      </w:r>
      <w:r>
        <w:rPr>
          <w:rFonts w:hint="eastAsia" w:ascii="宋体" w:hAnsi="宋体"/>
          <w:szCs w:val="21"/>
        </w:rPr>
        <w:t>.5将施工所需的水、电接至施工场地的时间、地点：</w:t>
      </w:r>
      <w:r>
        <w:rPr>
          <w:rFonts w:hint="eastAsia" w:ascii="宋体" w:hAnsi="宋体"/>
          <w:szCs w:val="21"/>
          <w:u w:val="single"/>
        </w:rPr>
        <w:t>发包人指定水电接口</w:t>
      </w:r>
      <w:r>
        <w:rPr>
          <w:rFonts w:hint="eastAsia" w:ascii="宋体" w:hAnsi="宋体" w:cs="宋体"/>
          <w:szCs w:val="21"/>
          <w:u w:val="single"/>
        </w:rPr>
        <w:t>（红线</w:t>
      </w:r>
      <w:r>
        <w:rPr>
          <w:rFonts w:hint="eastAsia" w:ascii="宋体" w:hAnsi="宋体"/>
          <w:szCs w:val="21"/>
          <w:u w:val="single"/>
        </w:rPr>
        <w:t>外10</w:t>
      </w:r>
      <w:r>
        <w:rPr>
          <w:rFonts w:ascii="宋体" w:hAnsi="宋体"/>
          <w:szCs w:val="21"/>
          <w:u w:val="single"/>
        </w:rPr>
        <w:t>0</w:t>
      </w:r>
      <w:r>
        <w:rPr>
          <w:rFonts w:hint="eastAsia" w:ascii="宋体" w:hAnsi="宋体"/>
          <w:szCs w:val="21"/>
          <w:u w:val="single"/>
        </w:rPr>
        <w:t>0米</w:t>
      </w:r>
      <w:r>
        <w:rPr>
          <w:rFonts w:hint="eastAsia" w:ascii="宋体" w:hAnsi="宋体" w:cs="宋体"/>
          <w:szCs w:val="21"/>
          <w:u w:val="single"/>
        </w:rPr>
        <w:t>范围内）</w:t>
      </w:r>
      <w:r>
        <w:rPr>
          <w:rFonts w:hint="eastAsia" w:ascii="宋体" w:hAnsi="宋体"/>
          <w:szCs w:val="21"/>
        </w:rPr>
        <w:t>。</w:t>
      </w:r>
    </w:p>
    <w:p>
      <w:pPr>
        <w:widowControl/>
        <w:autoSpaceDE w:val="0"/>
        <w:autoSpaceDN w:val="0"/>
        <w:adjustRightInd w:val="0"/>
        <w:spacing w:line="400" w:lineRule="exact"/>
        <w:outlineLvl w:val="3"/>
        <w:rPr>
          <w:rFonts w:ascii="宋体" w:hAnsi="宋体"/>
          <w:b/>
          <w:szCs w:val="21"/>
        </w:rPr>
      </w:pPr>
      <w:bookmarkStart w:id="351" w:name="_Toc351203635"/>
      <w:r>
        <w:rPr>
          <w:rFonts w:ascii="宋体" w:hAnsi="宋体"/>
          <w:b/>
          <w:szCs w:val="21"/>
        </w:rPr>
        <w:t>3</w:t>
      </w:r>
      <w:bookmarkStart w:id="352" w:name="_Toc296347157"/>
      <w:bookmarkStart w:id="353" w:name="_Toc292559868"/>
      <w:bookmarkStart w:id="354" w:name="_Toc297048344"/>
      <w:bookmarkStart w:id="355" w:name="_Toc296890986"/>
      <w:bookmarkStart w:id="356" w:name="_Toc297120458"/>
      <w:bookmarkStart w:id="357" w:name="_Toc296346659"/>
      <w:bookmarkStart w:id="358" w:name="_Toc292559363"/>
      <w:bookmarkStart w:id="359" w:name="_Toc296891198"/>
      <w:bookmarkStart w:id="360" w:name="_Toc296944497"/>
      <w:bookmarkStart w:id="361" w:name="_Toc296503158"/>
      <w:r>
        <w:rPr>
          <w:rFonts w:ascii="宋体" w:hAnsi="宋体"/>
          <w:b/>
          <w:szCs w:val="21"/>
        </w:rPr>
        <w:t>. 承包人</w:t>
      </w:r>
      <w:bookmarkEnd w:id="351"/>
    </w:p>
    <w:bookmarkEnd w:id="352"/>
    <w:bookmarkEnd w:id="353"/>
    <w:bookmarkEnd w:id="354"/>
    <w:bookmarkEnd w:id="355"/>
    <w:bookmarkEnd w:id="356"/>
    <w:bookmarkEnd w:id="357"/>
    <w:bookmarkEnd w:id="358"/>
    <w:bookmarkEnd w:id="359"/>
    <w:bookmarkEnd w:id="360"/>
    <w:bookmarkEnd w:id="361"/>
    <w:p>
      <w:pPr>
        <w:widowControl/>
        <w:tabs>
          <w:tab w:val="left" w:pos="3015"/>
        </w:tabs>
        <w:adjustRightInd w:val="0"/>
        <w:snapToGrid w:val="0"/>
        <w:spacing w:line="400" w:lineRule="exact"/>
        <w:ind w:firstLine="420" w:firstLineChars="200"/>
        <w:jc w:val="left"/>
        <w:rPr>
          <w:rFonts w:ascii="宋体" w:hAnsi="宋体"/>
          <w:szCs w:val="21"/>
        </w:rPr>
      </w:pPr>
      <w:r>
        <w:rPr>
          <w:rFonts w:hint="eastAsia" w:ascii="宋体" w:hAnsi="宋体"/>
          <w:szCs w:val="21"/>
        </w:rPr>
        <w:t>3.1承包人的一般义务</w:t>
      </w:r>
    </w:p>
    <w:p>
      <w:pPr>
        <w:widowControl/>
        <w:tabs>
          <w:tab w:val="left" w:pos="5010"/>
        </w:tabs>
        <w:adjustRightInd w:val="0"/>
        <w:snapToGrid w:val="0"/>
        <w:spacing w:line="400" w:lineRule="exact"/>
        <w:ind w:firstLine="420" w:firstLineChars="200"/>
        <w:jc w:val="left"/>
        <w:rPr>
          <w:rFonts w:ascii="宋体" w:hAnsi="宋体"/>
          <w:szCs w:val="21"/>
        </w:rPr>
      </w:pPr>
      <w:r>
        <w:rPr>
          <w:rFonts w:hint="eastAsia" w:ascii="宋体" w:hAnsi="宋体"/>
          <w:szCs w:val="21"/>
        </w:rPr>
        <w:t>3.1.1办理许可及费用承担</w:t>
      </w:r>
    </w:p>
    <w:p>
      <w:pPr>
        <w:widowControl/>
        <w:tabs>
          <w:tab w:val="left" w:pos="5010"/>
        </w:tabs>
        <w:adjustRightInd w:val="0"/>
        <w:snapToGrid w:val="0"/>
        <w:spacing w:line="400" w:lineRule="exact"/>
        <w:ind w:firstLine="420" w:firstLineChars="200"/>
        <w:jc w:val="left"/>
        <w:rPr>
          <w:szCs w:val="21"/>
        </w:rPr>
      </w:pPr>
      <w:r>
        <w:rPr>
          <w:rFonts w:hint="eastAsia" w:ascii="宋体" w:hAnsi="宋体"/>
          <w:szCs w:val="21"/>
        </w:rPr>
        <w:t>3.1.1.1需承包人办理的有关施工场地交通、环卫、排污和施工噪音管理等手续及费用承担：均由承包人自行负责，按相关部门规定办理有关手续，相关费用均综合考虑在投标报价中。注：</w:t>
      </w:r>
      <w:r>
        <w:rPr>
          <w:rFonts w:ascii="宋体" w:hAnsi="宋体" w:cs="宋体"/>
          <w:kern w:val="0"/>
          <w:szCs w:val="21"/>
        </w:rPr>
        <w:t>工程排污费</w:t>
      </w:r>
      <w:r>
        <w:rPr>
          <w:rFonts w:hint="eastAsia" w:ascii="宋体" w:hAnsi="宋体" w:cs="宋体"/>
          <w:kern w:val="0"/>
          <w:szCs w:val="21"/>
        </w:rPr>
        <w:t>（环境保护税）</w:t>
      </w:r>
      <w:r>
        <w:rPr>
          <w:rFonts w:ascii="宋体" w:hAnsi="宋体" w:cs="宋体"/>
          <w:kern w:val="0"/>
          <w:szCs w:val="21"/>
        </w:rPr>
        <w:t>由承包人缴纳，发包人根据缴纳凭证据实支付。</w:t>
      </w:r>
    </w:p>
    <w:p>
      <w:pPr>
        <w:widowControl/>
        <w:tabs>
          <w:tab w:val="left" w:pos="5010"/>
        </w:tabs>
        <w:adjustRightInd w:val="0"/>
        <w:snapToGrid w:val="0"/>
        <w:spacing w:line="400" w:lineRule="exact"/>
        <w:ind w:firstLine="420" w:firstLineChars="200"/>
        <w:jc w:val="left"/>
        <w:rPr>
          <w:rFonts w:ascii="宋体" w:hAnsi="宋体"/>
          <w:szCs w:val="21"/>
        </w:rPr>
      </w:pPr>
      <w:r>
        <w:rPr>
          <w:rFonts w:hint="eastAsia" w:ascii="宋体" w:hAnsi="宋体"/>
          <w:szCs w:val="21"/>
        </w:rPr>
        <w:t>3.1.1.2承包人协助发包人办理施工许可证及质监手续，承包人按渝建发</w:t>
      </w:r>
      <w:r>
        <w:rPr>
          <w:rFonts w:ascii="宋体" w:hAnsi="宋体"/>
          <w:szCs w:val="21"/>
        </w:rPr>
        <w:t>[2008]177号</w:t>
      </w:r>
      <w:r>
        <w:rPr>
          <w:rFonts w:hint="eastAsia" w:ascii="宋体" w:hAnsi="宋体"/>
          <w:szCs w:val="21"/>
        </w:rPr>
        <w:t>文规定办理安全手续，费用由承包人承担；</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3.1.3承担施工安全保卫工作及施工照明的责任和要求及费用承担：由承包人自行解决，并按有关规定办理建设工程报监手续。</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3.1.8农民工权益保护</w:t>
      </w:r>
    </w:p>
    <w:p>
      <w:pPr>
        <w:widowControl/>
        <w:numPr>
          <w:ilvl w:val="0"/>
          <w:numId w:val="4"/>
        </w:numPr>
        <w:adjustRightInd w:val="0"/>
        <w:snapToGrid w:val="0"/>
        <w:spacing w:line="400" w:lineRule="exact"/>
        <w:ind w:firstLine="420" w:firstLineChars="200"/>
        <w:jc w:val="left"/>
        <w:rPr>
          <w:rFonts w:ascii="微软雅黑" w:hAnsi="微软雅黑" w:eastAsia="微软雅黑" w:cs="微软雅黑"/>
          <w:szCs w:val="21"/>
          <w:shd w:val="clear" w:color="auto" w:fill="FFFFFF"/>
        </w:rPr>
      </w:pPr>
      <w:r>
        <w:rPr>
          <w:rFonts w:hint="eastAsia" w:ascii="宋体" w:hAnsi="宋体"/>
          <w:szCs w:val="21"/>
        </w:rPr>
        <w:t>承包人应</w:t>
      </w:r>
      <w:r>
        <w:rPr>
          <w:rFonts w:ascii="宋体" w:hAnsi="宋体"/>
          <w:szCs w:val="21"/>
        </w:rPr>
        <w:t>开设农民工工资专用账户</w:t>
      </w:r>
      <w:r>
        <w:rPr>
          <w:rFonts w:hint="eastAsia" w:ascii="宋体" w:hAnsi="宋体"/>
          <w:szCs w:val="21"/>
        </w:rPr>
        <w:t>，专项用于支付该工程建设项目农民工工资，并</w:t>
      </w:r>
      <w:r>
        <w:rPr>
          <w:rFonts w:ascii="宋体" w:hAnsi="宋体"/>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（2）承包人必须严格按照《劳动法》、《保障农民工工资支付条例》（国</w:t>
      </w:r>
      <w:r>
        <w:rPr>
          <w:rFonts w:ascii="宋体" w:hAnsi="宋体"/>
          <w:szCs w:val="21"/>
        </w:rPr>
        <w:t>令第</w:t>
      </w:r>
      <w:r>
        <w:rPr>
          <w:rFonts w:hint="eastAsia" w:ascii="宋体" w:hAnsi="宋体"/>
          <w:szCs w:val="21"/>
        </w:rPr>
        <w:t>724号）、《建设领域农民工工资支付管理暂行办法》 劳社部发[2004]22号 和《最低工资规定》等有关规定支付农民工工资，不得拖欠或克扣。</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（4）每季度末承包人应向建管局报送项目部农民工花名册及工资发放情况。承包人应当</w:t>
      </w:r>
      <w:r>
        <w:rPr>
          <w:rFonts w:ascii="宋体" w:hAnsi="宋体"/>
          <w:szCs w:val="21"/>
        </w:rPr>
        <w:t>按照</w:t>
      </w:r>
      <w:r>
        <w:rPr>
          <w:rFonts w:hint="eastAsia" w:ascii="宋体" w:hAnsi="宋体"/>
          <w:szCs w:val="21"/>
        </w:rPr>
        <w:t>每月</w:t>
      </w:r>
      <w:r>
        <w:rPr>
          <w:rFonts w:ascii="宋体" w:hAnsi="宋体"/>
          <w:szCs w:val="21"/>
        </w:rPr>
        <w:t>编制书面工资支付台账，并</w:t>
      </w:r>
      <w:r>
        <w:rPr>
          <w:rFonts w:hint="eastAsia" w:ascii="宋体" w:hAnsi="宋体"/>
          <w:szCs w:val="21"/>
        </w:rPr>
        <w:t>保存至工程</w:t>
      </w:r>
      <w:r>
        <w:rPr>
          <w:rFonts w:ascii="宋体" w:hAnsi="宋体"/>
          <w:szCs w:val="21"/>
        </w:rPr>
        <w:t>完工且工资全部结清后至少</w:t>
      </w:r>
      <w:r>
        <w:rPr>
          <w:rFonts w:hint="eastAsia" w:ascii="宋体" w:hAnsi="宋体"/>
          <w:szCs w:val="21"/>
        </w:rPr>
        <w:t>3年</w:t>
      </w:r>
      <w:r>
        <w:rPr>
          <w:rFonts w:ascii="宋体" w:hAnsi="宋体"/>
          <w:szCs w:val="21"/>
        </w:rPr>
        <w:t>。</w:t>
      </w:r>
      <w:r>
        <w:rPr>
          <w:rFonts w:hint="eastAsia" w:ascii="宋体" w:hAnsi="宋体"/>
          <w:szCs w:val="21"/>
        </w:rPr>
        <w:t>书面工资</w:t>
      </w:r>
      <w:r>
        <w:rPr>
          <w:rFonts w:ascii="宋体" w:hAnsi="宋体"/>
          <w:szCs w:val="21"/>
        </w:rPr>
        <w:t>支付台账应当包括用人单位名称，支付周期，支付日期，支付对象</w:t>
      </w:r>
      <w:r>
        <w:rPr>
          <w:rFonts w:hint="eastAsia" w:ascii="宋体" w:hAnsi="宋体"/>
          <w:szCs w:val="21"/>
        </w:rPr>
        <w:t>姓名</w:t>
      </w:r>
      <w:r>
        <w:rPr>
          <w:rFonts w:ascii="宋体" w:hAnsi="宋体"/>
          <w:szCs w:val="21"/>
        </w:rPr>
        <w:t>、身份证号码、联系方式，工作时间，应发工资数目及数额，代扣、代缴、扣除项目和数额，实发工资数额，银行</w:t>
      </w:r>
      <w:r>
        <w:rPr>
          <w:rFonts w:hint="eastAsia" w:ascii="宋体" w:hAnsi="宋体"/>
          <w:szCs w:val="21"/>
        </w:rPr>
        <w:t>代</w:t>
      </w:r>
      <w:r>
        <w:rPr>
          <w:rFonts w:ascii="宋体" w:hAnsi="宋体"/>
          <w:szCs w:val="21"/>
        </w:rPr>
        <w:t>发工资凭证或者农民工签字等内容。</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（5）按照法律规定为农民工办理工伤保险，不得损害农民工的合法权益，确保社会稳定。</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（6）严禁编造虚假事实或者采取非法手段讨要农民工工资，或者以拖欠农民工工资为名讨要工程款。</w:t>
      </w:r>
    </w:p>
    <w:p>
      <w:pPr>
        <w:widowControl/>
        <w:autoSpaceDE w:val="0"/>
        <w:autoSpaceDN w:val="0"/>
        <w:adjustRightInd w:val="0"/>
        <w:spacing w:before="16"/>
        <w:jc w:val="left"/>
        <w:outlineLvl w:val="2"/>
        <w:rPr>
          <w:rFonts w:ascii="宋体" w:hAnsi="宋体"/>
          <w:szCs w:val="21"/>
        </w:rPr>
      </w:pPr>
      <w:r>
        <w:rPr>
          <w:rFonts w:hint="eastAsia" w:ascii="宋体" w:hAnsi="宋体"/>
          <w:szCs w:val="21"/>
        </w:rPr>
        <w:t xml:space="preserve"> （7）承包人</w:t>
      </w:r>
      <w:r>
        <w:rPr>
          <w:rFonts w:ascii="宋体" w:hAnsi="宋体"/>
          <w:szCs w:val="21"/>
        </w:rPr>
        <w:t>应在施工现场醒目位置设立维权信息告示牌。</w:t>
      </w:r>
    </w:p>
    <w:p>
      <w:pPr>
        <w:widowControl/>
        <w:tabs>
          <w:tab w:val="left" w:pos="3015"/>
        </w:tabs>
        <w:adjustRightInd w:val="0"/>
        <w:snapToGrid w:val="0"/>
        <w:spacing w:line="400" w:lineRule="exact"/>
        <w:ind w:firstLine="420" w:firstLineChars="200"/>
        <w:jc w:val="left"/>
        <w:rPr>
          <w:rFonts w:ascii="宋体" w:hAnsi="宋体"/>
          <w:szCs w:val="21"/>
        </w:rPr>
      </w:pPr>
      <w:r>
        <w:rPr>
          <w:rFonts w:hint="eastAsia" w:ascii="宋体" w:hAnsi="宋体"/>
          <w:szCs w:val="21"/>
        </w:rPr>
        <w:t>3.1.10应履行的其他义务</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3.1.10.1承包人应当对在施工场地或者附近实施与合同工程有关的其他工作的独立承包人履行管理、协调、配合、照管和服务义务。</w:t>
      </w:r>
    </w:p>
    <w:p>
      <w:pPr>
        <w:widowControl/>
        <w:tabs>
          <w:tab w:val="left" w:pos="5010"/>
        </w:tabs>
        <w:spacing w:line="400" w:lineRule="exact"/>
        <w:ind w:firstLine="315" w:firstLineChars="150"/>
        <w:jc w:val="left"/>
        <w:rPr>
          <w:rFonts w:ascii="宋体" w:hAnsi="宋体"/>
          <w:szCs w:val="21"/>
        </w:rPr>
      </w:pPr>
      <w:r>
        <w:rPr>
          <w:rFonts w:hint="eastAsia" w:ascii="宋体" w:hAnsi="宋体"/>
          <w:szCs w:val="21"/>
        </w:rPr>
        <w:t>3.1.10.2承包人有义务积极配合协调其他施工单位的工作，提供现场搭设办公室、材料设备的堆场施工道路和场地。承包人不得向其他承包人收取配合费、管理费和其他任何手续费。</w:t>
      </w:r>
    </w:p>
    <w:p>
      <w:pPr>
        <w:widowControl/>
        <w:tabs>
          <w:tab w:val="left" w:pos="5010"/>
        </w:tabs>
        <w:spacing w:line="400" w:lineRule="exact"/>
        <w:ind w:firstLine="315" w:firstLineChars="150"/>
        <w:jc w:val="left"/>
        <w:rPr>
          <w:rFonts w:ascii="宋体" w:hAnsi="宋体"/>
          <w:szCs w:val="21"/>
        </w:rPr>
      </w:pPr>
      <w:r>
        <w:rPr>
          <w:rFonts w:hint="eastAsia" w:ascii="宋体" w:hAnsi="宋体"/>
          <w:szCs w:val="21"/>
        </w:rPr>
        <w:t>3.1.10.3承包人应负责向其它承包人提供他们施工所需的水电等能源接口，由其他承包人独立安表计量，并按能源供应单位的收费标准收取费用；</w:t>
      </w:r>
    </w:p>
    <w:p>
      <w:pPr>
        <w:widowControl/>
        <w:tabs>
          <w:tab w:val="left" w:pos="5010"/>
        </w:tabs>
        <w:spacing w:line="400" w:lineRule="exact"/>
        <w:ind w:firstLine="420" w:firstLineChars="200"/>
        <w:jc w:val="left"/>
        <w:rPr>
          <w:rFonts w:ascii="宋体" w:hAnsi="宋体"/>
          <w:szCs w:val="21"/>
        </w:rPr>
      </w:pPr>
      <w:r>
        <w:rPr>
          <w:rFonts w:hint="eastAsia" w:ascii="宋体" w:hAnsi="宋体"/>
          <w:szCs w:val="21"/>
        </w:rPr>
        <w:t>3.1.10.4</w:t>
      </w:r>
      <w:r>
        <w:rPr>
          <w:rFonts w:ascii="宋体" w:hAnsi="宋体"/>
          <w:szCs w:val="21"/>
        </w:rPr>
        <w:t>施工所需的水、电、电讯线路供应要求</w:t>
      </w:r>
      <w:r>
        <w:rPr>
          <w:rFonts w:hint="eastAsia" w:ascii="宋体" w:hAnsi="宋体"/>
          <w:szCs w:val="21"/>
        </w:rPr>
        <w:t>及费用承担</w:t>
      </w:r>
      <w:r>
        <w:rPr>
          <w:rFonts w:ascii="宋体" w:hAnsi="宋体"/>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Pr>
          <w:rFonts w:hint="eastAsia" w:ascii="宋体" w:hAnsi="宋体"/>
          <w:szCs w:val="21"/>
        </w:rPr>
        <w:t>、造价</w:t>
      </w:r>
      <w:r>
        <w:rPr>
          <w:rFonts w:ascii="宋体" w:hAnsi="宋体"/>
          <w:szCs w:val="21"/>
        </w:rPr>
        <w:t>咨询机构等所需的生活用水用电，工程的施工、试验和维修用水、电等。</w:t>
      </w:r>
    </w:p>
    <w:p>
      <w:pPr>
        <w:widowControl/>
        <w:tabs>
          <w:tab w:val="left" w:pos="5010"/>
        </w:tabs>
        <w:spacing w:line="400" w:lineRule="exact"/>
        <w:ind w:firstLine="420" w:firstLineChars="200"/>
        <w:jc w:val="left"/>
        <w:rPr>
          <w:rFonts w:ascii="宋体" w:hAnsi="宋体"/>
          <w:szCs w:val="21"/>
        </w:rPr>
      </w:pPr>
      <w:r>
        <w:rPr>
          <w:rFonts w:hint="eastAsia" w:ascii="宋体" w:hAnsi="宋体"/>
          <w:szCs w:val="21"/>
        </w:rPr>
        <w:t>3.1.10.5向发包人提供的办公、生活房屋、交通工具及设施的要求及费用承担：承包人向发包人派驻的工程师和监理单位、造价咨询</w:t>
      </w:r>
      <w:r>
        <w:rPr>
          <w:rFonts w:ascii="宋体" w:hAnsi="宋体"/>
          <w:szCs w:val="21"/>
        </w:rPr>
        <w:t>机构</w:t>
      </w:r>
      <w:r>
        <w:rPr>
          <w:rFonts w:hint="eastAsia" w:ascii="宋体" w:hAnsi="宋体"/>
          <w:szCs w:val="21"/>
        </w:rPr>
        <w:t>委派的工程师提供必要的办公和生活房屋并承担由此所产生的费用.</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3.1.</w:t>
      </w:r>
      <w:r>
        <w:rPr>
          <w:rFonts w:ascii="宋体" w:hAnsi="宋体"/>
          <w:szCs w:val="21"/>
        </w:rPr>
        <w:t>11</w:t>
      </w:r>
      <w:r>
        <w:rPr>
          <w:rFonts w:hint="eastAsia" w:ascii="宋体" w:hAnsi="宋体"/>
          <w:szCs w:val="21"/>
        </w:rPr>
        <w:t>因承包人的原因，致使施工场地红线外的青苗、花木以及房屋、构筑物、管线等设施遭受毁损灭失的，均由承包人负责恢复及赔偿；</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在施工过程中发生的所有问题，包括但不限于扰民、安全、消防、保卫、交通、市政、供电、供水、环保、炮损费、周边关系等工作全部由承包人负责并承担与之相关的一切费用；</w:t>
      </w:r>
    </w:p>
    <w:p>
      <w:pPr>
        <w:widowControl/>
        <w:tabs>
          <w:tab w:val="left" w:pos="5010"/>
        </w:tabs>
        <w:adjustRightInd w:val="0"/>
        <w:snapToGrid w:val="0"/>
        <w:spacing w:line="400" w:lineRule="exact"/>
        <w:ind w:firstLine="420" w:firstLineChars="200"/>
        <w:jc w:val="left"/>
        <w:rPr>
          <w:rFonts w:ascii="宋体" w:hAnsi="宋体"/>
          <w:szCs w:val="21"/>
        </w:rPr>
      </w:pPr>
      <w:r>
        <w:rPr>
          <w:rFonts w:hint="eastAsia" w:ascii="宋体" w:hAnsi="宋体"/>
          <w:szCs w:val="21"/>
        </w:rPr>
        <w:t>3.1.</w:t>
      </w:r>
      <w:r>
        <w:rPr>
          <w:rFonts w:ascii="宋体" w:hAnsi="宋体"/>
          <w:szCs w:val="21"/>
        </w:rPr>
        <w:t>12</w:t>
      </w:r>
      <w:r>
        <w:rPr>
          <w:rFonts w:hint="eastAsia" w:ascii="宋体" w:hAnsi="宋体"/>
          <w:szCs w:val="21"/>
        </w:rPr>
        <w:t>负责施工期间因各种原因需采取的排水和降水措施。</w:t>
      </w:r>
    </w:p>
    <w:p>
      <w:pPr>
        <w:widowControl/>
        <w:tabs>
          <w:tab w:val="left" w:pos="5010"/>
        </w:tabs>
        <w:adjustRightInd w:val="0"/>
        <w:snapToGrid w:val="0"/>
        <w:spacing w:line="400" w:lineRule="exact"/>
        <w:ind w:firstLine="420" w:firstLineChars="200"/>
        <w:jc w:val="left"/>
        <w:rPr>
          <w:rFonts w:ascii="宋体" w:hAnsi="宋体"/>
          <w:szCs w:val="21"/>
        </w:rPr>
      </w:pPr>
      <w:r>
        <w:rPr>
          <w:rFonts w:hint="eastAsia" w:ascii="宋体" w:hAnsi="宋体"/>
          <w:szCs w:val="21"/>
        </w:rPr>
        <w:t>3.1.13为了不受市网停电影响延误工期，承包人应自行预备柴油发电机组、所需的费用由承包人承担。</w:t>
      </w:r>
    </w:p>
    <w:p>
      <w:pPr>
        <w:widowControl/>
        <w:spacing w:line="400" w:lineRule="exact"/>
        <w:ind w:firstLine="420" w:firstLineChars="200"/>
        <w:jc w:val="left"/>
        <w:rPr>
          <w:rFonts w:ascii="宋体" w:hAnsi="宋体"/>
          <w:szCs w:val="21"/>
        </w:rPr>
      </w:pPr>
      <w:r>
        <w:rPr>
          <w:rFonts w:ascii="宋体" w:hAnsi="宋体"/>
          <w:szCs w:val="21"/>
        </w:rPr>
        <w:t>3.2 项目经理</w:t>
      </w:r>
    </w:p>
    <w:p>
      <w:pPr>
        <w:widowControl/>
        <w:spacing w:line="400" w:lineRule="exact"/>
        <w:ind w:firstLine="420" w:firstLineChars="200"/>
        <w:jc w:val="left"/>
        <w:rPr>
          <w:rFonts w:ascii="宋体" w:hAnsi="宋体"/>
          <w:szCs w:val="21"/>
        </w:rPr>
      </w:pPr>
      <w:r>
        <w:rPr>
          <w:rFonts w:ascii="宋体" w:hAnsi="宋体"/>
          <w:kern w:val="0"/>
          <w:szCs w:val="21"/>
        </w:rPr>
        <w:t xml:space="preserve">3.2.1 </w:t>
      </w:r>
      <w:r>
        <w:rPr>
          <w:rFonts w:ascii="宋体" w:hAnsi="宋体"/>
          <w:szCs w:val="21"/>
        </w:rPr>
        <w:t>项目经理：</w:t>
      </w:r>
    </w:p>
    <w:p>
      <w:pPr>
        <w:widowControl/>
        <w:spacing w:line="400" w:lineRule="exact"/>
        <w:ind w:firstLine="420" w:firstLineChars="200"/>
        <w:jc w:val="left"/>
        <w:rPr>
          <w:rFonts w:ascii="宋体" w:hAnsi="宋体"/>
          <w:szCs w:val="21"/>
        </w:rPr>
      </w:pPr>
      <w:r>
        <w:rPr>
          <w:rFonts w:ascii="宋体" w:hAnsi="宋体"/>
          <w:szCs w:val="21"/>
        </w:rPr>
        <w:t>姓    名：</w:t>
      </w:r>
      <w:r>
        <w:rPr>
          <w:rFonts w:hint="eastAsia" w:ascii="宋体" w:hAnsi="宋体"/>
          <w:szCs w:val="21"/>
        </w:rPr>
        <w:t xml:space="preserve">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身份证号：</w:t>
      </w:r>
      <w:r>
        <w:rPr>
          <w:rFonts w:hint="eastAsia" w:ascii="宋体" w:hAnsi="宋体"/>
          <w:szCs w:val="21"/>
        </w:rPr>
        <w:t xml:space="preserve">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建造师执业资格等级：</w:t>
      </w:r>
      <w:r>
        <w:rPr>
          <w:rFonts w:hint="eastAsia" w:ascii="宋体" w:hAnsi="宋体"/>
          <w:szCs w:val="21"/>
        </w:rPr>
        <w:t xml:space="preserve">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建造师注册证书号：</w:t>
      </w:r>
      <w:r>
        <w:rPr>
          <w:rFonts w:hint="eastAsia" w:ascii="宋体" w:hAnsi="宋体"/>
          <w:szCs w:val="21"/>
        </w:rPr>
        <w:t xml:space="preserve">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建造师执业印章号：</w:t>
      </w:r>
      <w:r>
        <w:rPr>
          <w:rFonts w:hint="eastAsia" w:ascii="宋体" w:hAnsi="宋体"/>
          <w:szCs w:val="21"/>
        </w:rPr>
        <w:t xml:space="preserve">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安全生产考核合格证书号：</w:t>
      </w:r>
      <w:r>
        <w:rPr>
          <w:rFonts w:hint="eastAsia" w:ascii="宋体" w:hAnsi="宋体"/>
          <w:szCs w:val="21"/>
        </w:rPr>
        <w:t xml:space="preserve">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联系电话：</w:t>
      </w:r>
      <w:r>
        <w:rPr>
          <w:rFonts w:hint="eastAsia" w:ascii="宋体" w:hAnsi="宋体"/>
          <w:szCs w:val="21"/>
        </w:rPr>
        <w:t xml:space="preserve">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电子信箱：</w:t>
      </w:r>
      <w:r>
        <w:rPr>
          <w:rFonts w:ascii="宋体" w:hAnsi="宋体"/>
          <w:szCs w:val="21"/>
          <w:u w:val="single"/>
        </w:rPr>
        <w:t>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3.2.</w:t>
      </w:r>
      <w:r>
        <w:rPr>
          <w:rFonts w:ascii="宋体" w:hAnsi="宋体"/>
          <w:szCs w:val="21"/>
        </w:rPr>
        <w:t>2</w:t>
      </w:r>
      <w:r>
        <w:rPr>
          <w:rFonts w:hint="eastAsia" w:ascii="宋体" w:hAnsi="宋体"/>
          <w:szCs w:val="21"/>
        </w:rPr>
        <w:t>承包人应严格按招投标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Pr>
          <w:rFonts w:ascii="宋体" w:hAnsi="宋体"/>
          <w:szCs w:val="21"/>
        </w:rPr>
        <w:t>20</w:t>
      </w:r>
      <w:r>
        <w:rPr>
          <w:rFonts w:hint="eastAsia" w:ascii="宋体" w:hAnsi="宋体"/>
          <w:szCs w:val="21"/>
        </w:rPr>
        <w:t>天/月，特殊情况如生病、休假等除外），或在工作中采取不合作态度，承包人应发包人要求无条件更换项目经理或技术负责人。</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3.2.3承包人项目经理必须与承包人投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szCs w:val="21"/>
        </w:rPr>
      </w:pPr>
      <w:r>
        <w:rPr>
          <w:rFonts w:hint="eastAsia" w:ascii="宋体" w:hAnsi="宋体"/>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szCs w:val="21"/>
        </w:rPr>
      </w:pPr>
      <w:r>
        <w:rPr>
          <w:rFonts w:hint="eastAsia" w:ascii="宋体" w:hAnsi="宋体"/>
          <w:szCs w:val="21"/>
        </w:rPr>
        <w:t>①更换后的人员必须为本单位职员；</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szCs w:val="21"/>
        </w:rPr>
      </w:pPr>
      <w:r>
        <w:rPr>
          <w:rFonts w:hint="eastAsia" w:ascii="宋体" w:hAnsi="宋体"/>
          <w:szCs w:val="21"/>
        </w:rPr>
        <w:t>②具备与被更换人员同等资格；</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szCs w:val="21"/>
        </w:rPr>
      </w:pPr>
      <w:r>
        <w:rPr>
          <w:rFonts w:hint="eastAsia" w:ascii="宋体" w:hAnsi="宋体"/>
          <w:szCs w:val="21"/>
        </w:rPr>
        <w:t>③须提供可查询的更换后人员在本单位近6个月以上发放工资的银行流水和社保缴纳记录。</w:t>
      </w:r>
    </w:p>
    <w:p>
      <w:pPr>
        <w:widowControl/>
        <w:autoSpaceDE w:val="0"/>
        <w:autoSpaceDN w:val="0"/>
        <w:adjustRightInd w:val="0"/>
        <w:spacing w:before="16"/>
        <w:jc w:val="left"/>
        <w:outlineLvl w:val="2"/>
        <w:rPr>
          <w:rFonts w:ascii="宋体" w:hAnsi="宋体"/>
          <w:szCs w:val="21"/>
        </w:rPr>
      </w:pPr>
      <w:r>
        <w:rPr>
          <w:rFonts w:hint="eastAsia" w:ascii="宋体" w:hAnsi="宋体"/>
          <w:szCs w:val="21"/>
        </w:rPr>
        <w:t xml:space="preserve"> 其它</w:t>
      </w:r>
      <w:r>
        <w:rPr>
          <w:rFonts w:ascii="宋体" w:hAnsi="宋体"/>
          <w:szCs w:val="21"/>
        </w:rPr>
        <w:t>主要管理人员变更参照</w:t>
      </w:r>
      <w:r>
        <w:rPr>
          <w:rFonts w:hint="eastAsia" w:ascii="宋体" w:hAnsi="宋体"/>
          <w:szCs w:val="21"/>
        </w:rPr>
        <w:t>《重庆市</w:t>
      </w:r>
      <w:r>
        <w:rPr>
          <w:rFonts w:ascii="宋体" w:hAnsi="宋体"/>
          <w:szCs w:val="21"/>
        </w:rPr>
        <w:t>政府投资项目合同变更管理暂行办法</w:t>
      </w:r>
      <w:r>
        <w:rPr>
          <w:rFonts w:hint="eastAsia" w:ascii="宋体" w:hAnsi="宋体"/>
          <w:szCs w:val="21"/>
        </w:rPr>
        <w:t>》执行</w:t>
      </w:r>
      <w:r>
        <w:rPr>
          <w:rFonts w:ascii="宋体" w:hAnsi="宋体"/>
          <w:szCs w:val="21"/>
        </w:rPr>
        <w:t>。</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szCs w:val="21"/>
        </w:rPr>
      </w:pPr>
      <w:r>
        <w:rPr>
          <w:rFonts w:hint="eastAsia" w:ascii="宋体" w:hAnsi="宋体"/>
          <w:szCs w:val="21"/>
        </w:rPr>
        <w:t>3.3.1 承包人应在领取中标通知书之日起10日之内，按照《重庆市房屋建筑与市政基础设施工程现场施工从业人员配备标准》向发包人提交项目主要管理人员名册（名册内容应包含姓名、职务、职称、社保等）。</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b/>
          <w:szCs w:val="21"/>
        </w:rPr>
      </w:pPr>
      <w:r>
        <w:rPr>
          <w:rFonts w:hint="eastAsia" w:ascii="宋体" w:hAnsi="宋体"/>
          <w:szCs w:val="21"/>
        </w:rPr>
        <w:t>承包人在签订合同时提供的项目主要施工</w:t>
      </w:r>
      <w:r>
        <w:rPr>
          <w:rFonts w:ascii="宋体" w:hAnsi="宋体"/>
          <w:szCs w:val="21"/>
        </w:rPr>
        <w:t>管理人员</w:t>
      </w:r>
      <w:r>
        <w:rPr>
          <w:rFonts w:hint="eastAsia" w:ascii="宋体" w:hAnsi="宋体"/>
          <w:szCs w:val="21"/>
        </w:rPr>
        <w:t>的相关材料（包括人员姓名、数量、职称</w:t>
      </w:r>
      <w:r>
        <w:rPr>
          <w:rFonts w:ascii="宋体" w:hAnsi="宋体"/>
          <w:szCs w:val="21"/>
        </w:rPr>
        <w:t>、</w:t>
      </w:r>
      <w:r>
        <w:rPr>
          <w:rFonts w:hint="eastAsia" w:ascii="宋体" w:hAnsi="宋体"/>
          <w:szCs w:val="21"/>
        </w:rPr>
        <w:t>专业、</w:t>
      </w:r>
      <w:r>
        <w:rPr>
          <w:rFonts w:ascii="宋体" w:hAnsi="宋体"/>
          <w:szCs w:val="21"/>
        </w:rPr>
        <w:t>社保</w:t>
      </w:r>
      <w:r>
        <w:rPr>
          <w:rFonts w:hint="eastAsia" w:ascii="宋体" w:hAnsi="宋体"/>
          <w:szCs w:val="21"/>
        </w:rPr>
        <w:t>等）需向发包人</w:t>
      </w:r>
      <w:r>
        <w:rPr>
          <w:rFonts w:ascii="宋体" w:hAnsi="宋体"/>
          <w:szCs w:val="21"/>
        </w:rPr>
        <w:t>提交的项目主要管理人员名册相同（</w:t>
      </w:r>
      <w:r>
        <w:rPr>
          <w:rFonts w:hint="eastAsia" w:ascii="宋体" w:hAnsi="宋体"/>
          <w:szCs w:val="21"/>
        </w:rPr>
        <w:t>项目</w:t>
      </w:r>
      <w:r>
        <w:rPr>
          <w:rFonts w:ascii="宋体" w:hAnsi="宋体"/>
          <w:szCs w:val="21"/>
        </w:rPr>
        <w:t>负责人、技术负责人以投标文件为准）</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3.4承包人现场查勘</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承包人可以借用2.4.3款所列资料，但发包人所提供的资料仅供参考。承包方进场后应结合现场情况对其复核，</w:t>
      </w:r>
      <w:r>
        <w:rPr>
          <w:rFonts w:hint="eastAsia"/>
          <w:szCs w:val="21"/>
        </w:rPr>
        <w:t>如发现有不准确之处应及时报告发包人，并采取稳妥措施保证安全文明施工，否则，应承担由此所造成的损失。</w:t>
      </w:r>
    </w:p>
    <w:p>
      <w:pPr>
        <w:widowControl/>
        <w:spacing w:line="400" w:lineRule="exact"/>
        <w:ind w:firstLine="420" w:firstLineChars="200"/>
        <w:jc w:val="left"/>
        <w:rPr>
          <w:rFonts w:ascii="宋体" w:hAnsi="宋体"/>
          <w:szCs w:val="21"/>
        </w:rPr>
      </w:pPr>
      <w:r>
        <w:rPr>
          <w:rFonts w:ascii="宋体" w:hAnsi="宋体"/>
          <w:szCs w:val="21"/>
        </w:rPr>
        <w:t>3</w:t>
      </w:r>
      <w:bookmarkStart w:id="362" w:name="_Toc292559869"/>
      <w:bookmarkStart w:id="363" w:name="_Toc297123492"/>
      <w:bookmarkStart w:id="364" w:name="_Toc296347158"/>
      <w:bookmarkStart w:id="365" w:name="_Toc296891199"/>
      <w:bookmarkStart w:id="366" w:name="_Toc292559364"/>
      <w:bookmarkStart w:id="367" w:name="_Toc297120459"/>
      <w:bookmarkStart w:id="368" w:name="_Toc297216151"/>
      <w:bookmarkStart w:id="369" w:name="_Toc297048345"/>
      <w:bookmarkStart w:id="370" w:name="_Toc300934945"/>
      <w:bookmarkStart w:id="371" w:name="_Toc312677988"/>
      <w:bookmarkStart w:id="372" w:name="_Toc303539102"/>
      <w:bookmarkStart w:id="373" w:name="_Toc304295523"/>
      <w:bookmarkStart w:id="374" w:name="_Toc296346660"/>
      <w:bookmarkStart w:id="375" w:name="_Toc296503159"/>
      <w:bookmarkStart w:id="376" w:name="_Toc296890987"/>
      <w:bookmarkStart w:id="377" w:name="_Toc296944498"/>
      <w:r>
        <w:rPr>
          <w:rFonts w:ascii="宋体" w:hAnsi="宋体"/>
          <w:szCs w:val="21"/>
        </w:rPr>
        <w:t>.5 分包</w:t>
      </w:r>
    </w:p>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Pr>
        <w:widowControl/>
        <w:spacing w:line="400" w:lineRule="exact"/>
        <w:ind w:firstLine="420" w:firstLineChars="200"/>
        <w:jc w:val="left"/>
        <w:rPr>
          <w:rFonts w:ascii="宋体" w:hAnsi="宋体"/>
          <w:szCs w:val="21"/>
        </w:rPr>
      </w:pPr>
      <w:r>
        <w:rPr>
          <w:rFonts w:ascii="宋体" w:hAnsi="宋体"/>
          <w:szCs w:val="21"/>
        </w:rPr>
        <w:t>3</w:t>
      </w:r>
      <w:bookmarkStart w:id="378" w:name="_Toc292559365"/>
      <w:bookmarkStart w:id="379" w:name="_Toc292559870"/>
      <w:bookmarkStart w:id="380" w:name="_Toc296346661"/>
      <w:bookmarkStart w:id="381" w:name="_Toc296347159"/>
      <w:bookmarkStart w:id="382" w:name="_Toc296503160"/>
      <w:bookmarkStart w:id="383" w:name="_Toc296890988"/>
      <w:bookmarkStart w:id="384" w:name="_Toc296891200"/>
      <w:bookmarkStart w:id="385" w:name="_Toc296944499"/>
      <w:bookmarkStart w:id="386" w:name="_Toc297048346"/>
      <w:bookmarkStart w:id="387" w:name="_Toc297120460"/>
      <w:bookmarkStart w:id="388" w:name="_Toc297123493"/>
      <w:bookmarkStart w:id="389" w:name="_Toc297216152"/>
      <w:bookmarkStart w:id="390" w:name="_Toc300934946"/>
      <w:bookmarkStart w:id="391" w:name="_Toc303539103"/>
      <w:bookmarkStart w:id="392" w:name="_Toc304295524"/>
      <w:bookmarkStart w:id="393" w:name="_Toc312677989"/>
      <w:bookmarkStart w:id="394" w:name="_Toc318581158"/>
      <w:r>
        <w:rPr>
          <w:rFonts w:ascii="宋体" w:hAnsi="宋体"/>
          <w:szCs w:val="21"/>
        </w:rPr>
        <w:t xml:space="preserve">.5.1 </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Fonts w:hint="eastAsia" w:ascii="宋体" w:hAnsi="宋体"/>
          <w:szCs w:val="21"/>
        </w:rPr>
        <w:t>分包的内容：依法可分包的非主体工程必须经发包人认可和同意。</w:t>
      </w:r>
    </w:p>
    <w:p>
      <w:pPr>
        <w:widowControl/>
        <w:tabs>
          <w:tab w:val="left" w:pos="5010"/>
        </w:tabs>
        <w:adjustRightInd w:val="0"/>
        <w:snapToGrid w:val="0"/>
        <w:spacing w:line="400" w:lineRule="exact"/>
        <w:ind w:firstLine="420" w:firstLineChars="200"/>
        <w:jc w:val="left"/>
        <w:rPr>
          <w:rFonts w:ascii="宋体" w:hAnsi="宋体"/>
          <w:szCs w:val="21"/>
        </w:rPr>
      </w:pPr>
      <w:r>
        <w:rPr>
          <w:rFonts w:ascii="宋体" w:hAnsi="宋体"/>
          <w:szCs w:val="21"/>
        </w:rPr>
        <w:t>3.5.</w:t>
      </w:r>
      <w:r>
        <w:rPr>
          <w:rFonts w:hint="eastAsia" w:ascii="宋体" w:hAnsi="宋体"/>
          <w:szCs w:val="21"/>
        </w:rPr>
        <w:t>2  双方约定分包单位：</w:t>
      </w:r>
      <w:r>
        <w:rPr>
          <w:rFonts w:hint="eastAsia" w:ascii="宋体" w:hAnsi="宋体"/>
          <w:szCs w:val="21"/>
          <w:u w:val="single"/>
        </w:rPr>
        <w:t>不采用</w:t>
      </w:r>
      <w:r>
        <w:rPr>
          <w:rFonts w:hint="eastAsia" w:ascii="宋体" w:hAnsi="宋体"/>
          <w:szCs w:val="21"/>
        </w:rPr>
        <w:t>。</w:t>
      </w:r>
    </w:p>
    <w:p>
      <w:pPr>
        <w:widowControl/>
        <w:tabs>
          <w:tab w:val="left" w:pos="5010"/>
        </w:tabs>
        <w:adjustRightInd w:val="0"/>
        <w:snapToGrid w:val="0"/>
        <w:spacing w:line="400" w:lineRule="exact"/>
        <w:ind w:firstLine="420" w:firstLineChars="200"/>
        <w:jc w:val="left"/>
        <w:rPr>
          <w:rFonts w:ascii="宋体" w:hAnsi="宋体"/>
          <w:szCs w:val="21"/>
        </w:rPr>
      </w:pPr>
      <w:r>
        <w:rPr>
          <w:rFonts w:ascii="宋体" w:hAnsi="宋体"/>
          <w:szCs w:val="21"/>
        </w:rPr>
        <w:t>3.5.</w:t>
      </w:r>
      <w:r>
        <w:rPr>
          <w:rFonts w:hint="eastAsia" w:ascii="宋体" w:hAnsi="宋体"/>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pPr>
        <w:widowControl/>
        <w:adjustRightInd w:val="0"/>
        <w:snapToGrid w:val="0"/>
        <w:spacing w:line="400" w:lineRule="exact"/>
        <w:ind w:firstLine="422" w:firstLineChars="200"/>
        <w:jc w:val="left"/>
        <w:rPr>
          <w:rFonts w:ascii="宋体" w:hAnsi="宋体"/>
          <w:b/>
          <w:bCs/>
          <w:szCs w:val="21"/>
        </w:rPr>
      </w:pPr>
      <w:r>
        <w:rPr>
          <w:rFonts w:hint="eastAsia" w:ascii="宋体" w:hAnsi="宋体"/>
          <w:b/>
          <w:bCs/>
          <w:szCs w:val="21"/>
        </w:rPr>
        <w:t>3.6</w:t>
      </w:r>
      <w:r>
        <w:rPr>
          <w:rFonts w:hint="eastAsia" w:ascii="宋体" w:hAnsi="宋体"/>
          <w:szCs w:val="21"/>
        </w:rPr>
        <w:t>已完工程成品保护的特殊要求及费用承担：由承包人负责并承担费用。</w:t>
      </w:r>
    </w:p>
    <w:p>
      <w:pPr>
        <w:widowControl/>
        <w:spacing w:line="400" w:lineRule="exact"/>
        <w:ind w:firstLine="420" w:firstLineChars="200"/>
        <w:jc w:val="left"/>
        <w:rPr>
          <w:rFonts w:ascii="宋体" w:hAnsi="宋体"/>
          <w:szCs w:val="21"/>
        </w:rPr>
      </w:pPr>
      <w:r>
        <w:rPr>
          <w:rFonts w:ascii="宋体" w:hAnsi="宋体"/>
          <w:szCs w:val="21"/>
        </w:rPr>
        <w:t>3.7 履约担保</w:t>
      </w:r>
    </w:p>
    <w:p>
      <w:pPr>
        <w:widowControl/>
        <w:spacing w:line="400" w:lineRule="exact"/>
        <w:ind w:firstLine="420" w:firstLineChars="200"/>
        <w:jc w:val="left"/>
        <w:rPr>
          <w:rFonts w:ascii="宋体" w:hAnsi="宋体"/>
          <w:szCs w:val="21"/>
        </w:rPr>
      </w:pPr>
      <w:r>
        <w:rPr>
          <w:rFonts w:hint="eastAsia" w:ascii="宋体" w:hAnsi="宋体"/>
          <w:szCs w:val="21"/>
        </w:rPr>
        <w:t>3.7.1履约担保的格式和金额</w:t>
      </w:r>
    </w:p>
    <w:p>
      <w:pPr>
        <w:widowControl/>
        <w:spacing w:line="400" w:lineRule="exact"/>
        <w:ind w:firstLine="420" w:firstLineChars="200"/>
        <w:jc w:val="left"/>
        <w:rPr>
          <w:rFonts w:ascii="宋体" w:hAnsi="宋体"/>
          <w:szCs w:val="21"/>
        </w:rPr>
      </w:pPr>
      <w:r>
        <w:rPr>
          <w:rFonts w:hint="eastAsia" w:ascii="宋体" w:hAnsi="宋体"/>
          <w:szCs w:val="21"/>
        </w:rPr>
        <w:t>承包人应在签订合同前，按照发包人在比选文件中规定的格式或者其他经过发包人认可的格式向发包人递交履约担保。其他格式的履约担保的实质性内容应当与发包人在比选文件中规定的格式内容保持一致。</w:t>
      </w:r>
      <w:r>
        <w:rPr>
          <w:rFonts w:hint="eastAsia" w:ascii="宋体" w:hAnsi="宋体"/>
          <w:szCs w:val="21"/>
          <w:shd w:val="clear" w:color="auto" w:fill="FFFFFF"/>
        </w:rPr>
        <w:t>履约担保的金额(履约保证金)为合同暂定金额的10%，履约保证金的缴纳方式为现金或见索即付的银行保函，履约担保为本合同的附件。</w:t>
      </w:r>
    </w:p>
    <w:p>
      <w:pPr>
        <w:widowControl/>
        <w:spacing w:line="400" w:lineRule="exact"/>
        <w:ind w:firstLine="420" w:firstLineChars="200"/>
        <w:jc w:val="left"/>
        <w:rPr>
          <w:rFonts w:ascii="宋体" w:hAnsi="宋体"/>
          <w:szCs w:val="21"/>
        </w:rPr>
      </w:pPr>
      <w:r>
        <w:rPr>
          <w:rFonts w:hint="eastAsia" w:ascii="宋体" w:hAnsi="宋体"/>
          <w:szCs w:val="21"/>
        </w:rPr>
        <w:t>3.7.2履约担保的有效期</w:t>
      </w:r>
    </w:p>
    <w:p>
      <w:pPr>
        <w:widowControl/>
        <w:spacing w:line="400" w:lineRule="exact"/>
        <w:ind w:firstLine="420" w:firstLineChars="200"/>
        <w:jc w:val="left"/>
        <w:rPr>
          <w:rFonts w:ascii="宋体" w:hAnsi="宋体"/>
          <w:szCs w:val="21"/>
        </w:rPr>
      </w:pPr>
      <w:r>
        <w:rPr>
          <w:rFonts w:hint="eastAsia" w:ascii="宋体" w:hAnsi="宋体"/>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pPr>
        <w:widowControl/>
        <w:spacing w:line="400" w:lineRule="exact"/>
        <w:ind w:firstLine="422" w:firstLineChars="200"/>
        <w:jc w:val="left"/>
        <w:rPr>
          <w:rFonts w:ascii="宋体" w:hAnsi="宋体" w:cs="宋体"/>
          <w:b/>
          <w:szCs w:val="21"/>
        </w:rPr>
      </w:pPr>
      <w:bookmarkStart w:id="395" w:name="_Toc351203636"/>
      <w:r>
        <w:rPr>
          <w:rFonts w:hint="eastAsia" w:ascii="宋体" w:hAnsi="宋体" w:cs="宋体"/>
          <w:b/>
          <w:szCs w:val="21"/>
        </w:rPr>
        <w:t>3.7.3履约担保的补足及退还</w:t>
      </w:r>
    </w:p>
    <w:p>
      <w:pPr>
        <w:widowControl/>
        <w:spacing w:line="400" w:lineRule="exact"/>
        <w:ind w:firstLine="422" w:firstLineChars="200"/>
        <w:jc w:val="left"/>
        <w:rPr>
          <w:rFonts w:ascii="宋体" w:hAnsi="宋体"/>
          <w:szCs w:val="21"/>
        </w:rPr>
      </w:pPr>
      <w:r>
        <w:rPr>
          <w:rFonts w:hint="eastAsia" w:ascii="宋体" w:hAnsi="宋体" w:cs="宋体"/>
          <w:b/>
          <w:szCs w:val="21"/>
        </w:rPr>
        <w:t>3.7.3.1</w:t>
      </w:r>
      <w:r>
        <w:rPr>
          <w:rFonts w:hint="eastAsia" w:ascii="宋体" w:hAnsi="宋体"/>
          <w:szCs w:val="21"/>
        </w:rPr>
        <w:t>若</w:t>
      </w:r>
      <w:r>
        <w:rPr>
          <w:rFonts w:ascii="宋体" w:hAnsi="宋体"/>
          <w:szCs w:val="21"/>
        </w:rPr>
        <w:t>因</w:t>
      </w:r>
      <w:r>
        <w:rPr>
          <w:rFonts w:hint="eastAsia" w:ascii="宋体" w:hAnsi="宋体"/>
          <w:szCs w:val="21"/>
        </w:rPr>
        <w:t>承包人</w:t>
      </w:r>
      <w:r>
        <w:rPr>
          <w:rFonts w:ascii="宋体" w:hAnsi="宋体"/>
          <w:szCs w:val="21"/>
        </w:rPr>
        <w:t>违约，</w:t>
      </w:r>
      <w:r>
        <w:rPr>
          <w:rFonts w:hint="eastAsia" w:ascii="宋体" w:hAnsi="宋体"/>
          <w:szCs w:val="21"/>
        </w:rPr>
        <w:t>发包人</w:t>
      </w:r>
      <w:r>
        <w:rPr>
          <w:rFonts w:ascii="宋体" w:hAnsi="宋体"/>
          <w:szCs w:val="21"/>
        </w:rPr>
        <w:t>有权</w:t>
      </w:r>
      <w:r>
        <w:rPr>
          <w:rFonts w:hint="eastAsia" w:ascii="宋体" w:hAnsi="宋体"/>
          <w:szCs w:val="21"/>
        </w:rPr>
        <w:t>从</w:t>
      </w:r>
      <w:r>
        <w:rPr>
          <w:rFonts w:ascii="宋体" w:hAnsi="宋体"/>
          <w:szCs w:val="21"/>
        </w:rPr>
        <w:t>履约保证金</w:t>
      </w:r>
      <w:r>
        <w:rPr>
          <w:rFonts w:hint="eastAsia" w:ascii="宋体" w:hAnsi="宋体"/>
          <w:szCs w:val="21"/>
        </w:rPr>
        <w:t>中</w:t>
      </w:r>
      <w:r>
        <w:rPr>
          <w:rFonts w:ascii="宋体" w:hAnsi="宋体"/>
          <w:szCs w:val="21"/>
        </w:rPr>
        <w:t>扣除</w:t>
      </w:r>
      <w:r>
        <w:rPr>
          <w:rFonts w:hint="eastAsia" w:ascii="宋体" w:hAnsi="宋体"/>
          <w:szCs w:val="21"/>
        </w:rPr>
        <w:t>相应</w:t>
      </w:r>
      <w:r>
        <w:rPr>
          <w:rFonts w:ascii="宋体" w:hAnsi="宋体"/>
          <w:szCs w:val="21"/>
        </w:rPr>
        <w:t>违约金</w:t>
      </w:r>
      <w:r>
        <w:rPr>
          <w:rFonts w:hint="eastAsia" w:ascii="宋体" w:hAnsi="宋体"/>
          <w:szCs w:val="21"/>
        </w:rPr>
        <w:t>，</w:t>
      </w:r>
      <w:r>
        <w:rPr>
          <w:rFonts w:ascii="宋体" w:hAnsi="宋体"/>
          <w:szCs w:val="21"/>
        </w:rPr>
        <w:t>在履约保证金被扣除后，</w:t>
      </w:r>
      <w:r>
        <w:rPr>
          <w:rFonts w:hint="eastAsia" w:ascii="宋体" w:hAnsi="宋体"/>
          <w:szCs w:val="21"/>
        </w:rPr>
        <w:t>发包人</w:t>
      </w:r>
      <w:r>
        <w:rPr>
          <w:rFonts w:ascii="宋体" w:hAnsi="宋体"/>
          <w:szCs w:val="21"/>
        </w:rPr>
        <w:t>有权</w:t>
      </w:r>
      <w:r>
        <w:rPr>
          <w:rFonts w:hint="eastAsia" w:ascii="宋体" w:hAnsi="宋体"/>
          <w:szCs w:val="21"/>
        </w:rPr>
        <w:t>要求</w:t>
      </w:r>
      <w:r>
        <w:rPr>
          <w:rFonts w:ascii="宋体" w:hAnsi="宋体"/>
          <w:szCs w:val="21"/>
        </w:rPr>
        <w:t>承包人</w:t>
      </w:r>
      <w:r>
        <w:rPr>
          <w:rFonts w:hint="eastAsia" w:ascii="宋体" w:hAnsi="宋体"/>
          <w:szCs w:val="21"/>
        </w:rPr>
        <w:t>补足履约保证金，</w:t>
      </w:r>
      <w:r>
        <w:rPr>
          <w:rFonts w:ascii="宋体" w:hAnsi="宋体"/>
          <w:szCs w:val="21"/>
        </w:rPr>
        <w:t>承包人应在</w:t>
      </w:r>
      <w:r>
        <w:rPr>
          <w:rFonts w:hint="eastAsia" w:ascii="宋体" w:hAnsi="宋体"/>
          <w:szCs w:val="21"/>
        </w:rPr>
        <w:t>发包人要求补足后的5个</w:t>
      </w:r>
      <w:r>
        <w:rPr>
          <w:rFonts w:ascii="宋体" w:hAnsi="宋体"/>
          <w:szCs w:val="21"/>
        </w:rPr>
        <w:t>工作日</w:t>
      </w:r>
      <w:r>
        <w:rPr>
          <w:rFonts w:hint="eastAsia" w:ascii="宋体" w:hAnsi="宋体"/>
          <w:szCs w:val="21"/>
        </w:rPr>
        <w:t>内</w:t>
      </w:r>
      <w:r>
        <w:rPr>
          <w:rFonts w:ascii="宋体" w:hAnsi="宋体"/>
          <w:szCs w:val="21"/>
        </w:rPr>
        <w:t>补足</w:t>
      </w:r>
      <w:r>
        <w:rPr>
          <w:rFonts w:hint="eastAsia" w:ascii="宋体" w:hAnsi="宋体"/>
          <w:szCs w:val="21"/>
        </w:rPr>
        <w:t>。</w:t>
      </w:r>
      <w:r>
        <w:rPr>
          <w:rFonts w:ascii="宋体" w:hAnsi="宋体"/>
          <w:szCs w:val="21"/>
        </w:rPr>
        <w:t>否则</w:t>
      </w:r>
      <w:r>
        <w:rPr>
          <w:rFonts w:hint="eastAsia" w:ascii="宋体" w:hAnsi="宋体"/>
          <w:szCs w:val="21"/>
        </w:rPr>
        <w:t>，发包人</w:t>
      </w:r>
      <w:r>
        <w:rPr>
          <w:rFonts w:ascii="宋体" w:hAnsi="宋体"/>
          <w:szCs w:val="21"/>
        </w:rPr>
        <w:t>有权直接从</w:t>
      </w:r>
      <w:r>
        <w:rPr>
          <w:rFonts w:hint="eastAsia" w:ascii="宋体" w:hAnsi="宋体"/>
          <w:szCs w:val="21"/>
        </w:rPr>
        <w:t>应</w:t>
      </w:r>
      <w:r>
        <w:rPr>
          <w:rFonts w:ascii="宋体" w:hAnsi="宋体"/>
          <w:szCs w:val="21"/>
        </w:rPr>
        <w:t>支付给</w:t>
      </w:r>
      <w:r>
        <w:rPr>
          <w:rFonts w:hint="eastAsia" w:ascii="宋体" w:hAnsi="宋体"/>
          <w:szCs w:val="21"/>
        </w:rPr>
        <w:t>承包人</w:t>
      </w:r>
      <w:r>
        <w:rPr>
          <w:rFonts w:ascii="宋体" w:hAnsi="宋体"/>
          <w:szCs w:val="21"/>
        </w:rPr>
        <w:t>的工程款</w:t>
      </w:r>
      <w:r>
        <w:rPr>
          <w:rFonts w:hint="eastAsia" w:ascii="宋体" w:hAnsi="宋体"/>
          <w:szCs w:val="21"/>
        </w:rPr>
        <w:t>项</w:t>
      </w:r>
      <w:r>
        <w:rPr>
          <w:rFonts w:ascii="宋体" w:hAnsi="宋体"/>
          <w:szCs w:val="21"/>
        </w:rPr>
        <w:t>中</w:t>
      </w:r>
      <w:r>
        <w:rPr>
          <w:rFonts w:hint="eastAsia" w:ascii="宋体" w:hAnsi="宋体"/>
          <w:szCs w:val="21"/>
        </w:rPr>
        <w:t>扣除</w:t>
      </w:r>
      <w:r>
        <w:rPr>
          <w:rFonts w:ascii="宋体" w:hAnsi="宋体"/>
          <w:szCs w:val="21"/>
        </w:rPr>
        <w:t>工程款补足履约保证金。</w:t>
      </w:r>
    </w:p>
    <w:p>
      <w:pPr>
        <w:widowControl/>
        <w:tabs>
          <w:tab w:val="left" w:pos="5010"/>
        </w:tabs>
        <w:adjustRightInd w:val="0"/>
        <w:snapToGrid w:val="0"/>
        <w:spacing w:line="400" w:lineRule="exact"/>
        <w:ind w:firstLine="422" w:firstLineChars="200"/>
        <w:jc w:val="left"/>
        <w:rPr>
          <w:rFonts w:ascii="宋体" w:hAnsi="宋体"/>
          <w:szCs w:val="21"/>
        </w:rPr>
      </w:pPr>
      <w:r>
        <w:rPr>
          <w:rFonts w:hint="eastAsia" w:ascii="宋体" w:hAnsi="宋体" w:cs="宋体"/>
          <w:b/>
          <w:szCs w:val="21"/>
        </w:rPr>
        <w:t>3.7.3.2</w:t>
      </w:r>
      <w:r>
        <w:rPr>
          <w:rFonts w:hint="eastAsia" w:ascii="宋体" w:hAnsi="宋体"/>
          <w:szCs w:val="21"/>
        </w:rPr>
        <w:t>履约保证金退还：工程通过竣工验收后一次性退还，不计息。</w:t>
      </w:r>
    </w:p>
    <w:p>
      <w:pPr>
        <w:widowControl/>
        <w:spacing w:line="400" w:lineRule="exact"/>
        <w:ind w:firstLine="420" w:firstLineChars="200"/>
        <w:jc w:val="left"/>
        <w:rPr>
          <w:rFonts w:ascii="宋体" w:hAnsi="宋体"/>
          <w:kern w:val="0"/>
          <w:szCs w:val="21"/>
        </w:rPr>
      </w:pPr>
      <w:r>
        <w:rPr>
          <w:rFonts w:hint="eastAsia" w:ascii="宋体" w:hAnsi="宋体"/>
          <w:kern w:val="0"/>
          <w:szCs w:val="21"/>
        </w:rPr>
        <w:t>若因发包人原因导致工期延后较长或承包人提交竣工报告后较长时间无法验收，经承包人申请，并经发包人同意，发包人对履约保证金可酌情按予以退还。</w:t>
      </w:r>
    </w:p>
    <w:p>
      <w:pPr>
        <w:widowControl/>
        <w:spacing w:line="400" w:lineRule="exact"/>
        <w:ind w:firstLine="420" w:firstLineChars="200"/>
        <w:jc w:val="left"/>
        <w:rPr>
          <w:rFonts w:ascii="宋体" w:hAnsi="宋体" w:cs="宋体"/>
          <w:b/>
          <w:szCs w:val="21"/>
        </w:rPr>
      </w:pPr>
      <w:r>
        <w:rPr>
          <w:rFonts w:hint="eastAsia" w:ascii="宋体" w:hAnsi="宋体"/>
          <w:kern w:val="0"/>
          <w:szCs w:val="21"/>
        </w:rPr>
        <w:t>3.8</w:t>
      </w:r>
      <w:r>
        <w:rPr>
          <w:rFonts w:hint="eastAsia" w:ascii="宋体" w:hAnsi="宋体" w:cs="宋体"/>
          <w:b/>
          <w:szCs w:val="21"/>
          <w:shd w:val="clear" w:color="auto" w:fill="FFFFFF"/>
        </w:rPr>
        <w:t>低价风险担保</w:t>
      </w:r>
    </w:p>
    <w:p>
      <w:pPr>
        <w:widowControl/>
        <w:spacing w:line="400" w:lineRule="exact"/>
        <w:ind w:firstLine="420" w:firstLineChars="200"/>
        <w:jc w:val="left"/>
        <w:rPr>
          <w:rFonts w:ascii="宋体" w:hAnsi="宋体"/>
          <w:szCs w:val="21"/>
          <w:shd w:val="clear" w:color="auto" w:fill="FFFFFF"/>
        </w:rPr>
      </w:pPr>
      <w:r>
        <w:rPr>
          <w:rFonts w:hint="eastAsia" w:ascii="宋体" w:hAnsi="宋体"/>
          <w:szCs w:val="21"/>
          <w:shd w:val="clear" w:color="auto" w:fill="FFFFFF"/>
        </w:rPr>
        <w:t>承包人提供低价风险担保的情形：采用经评审的最低投标价法的项目投标报价低于最高限价85%时。</w:t>
      </w:r>
      <w:r>
        <w:rPr>
          <w:rFonts w:hint="eastAsia" w:ascii="宋体" w:hAnsi="宋体"/>
          <w:szCs w:val="21"/>
          <w:shd w:val="clear" w:color="auto" w:fill="FFFFFF"/>
        </w:rPr>
        <w:br w:type="textWrapping"/>
      </w:r>
      <w:r>
        <w:rPr>
          <w:rFonts w:hint="eastAsia" w:ascii="宋体" w:hAnsi="宋体"/>
          <w:szCs w:val="21"/>
          <w:shd w:val="clear" w:color="auto" w:fill="FFFFFF"/>
        </w:rPr>
        <w:t>承包人是否提供低价风险担保：提供。</w:t>
      </w:r>
      <w:r>
        <w:rPr>
          <w:rFonts w:hint="eastAsia" w:ascii="宋体" w:hAnsi="宋体"/>
          <w:szCs w:val="21"/>
          <w:shd w:val="clear" w:color="auto" w:fill="FFFFFF"/>
        </w:rPr>
        <w:br w:type="textWrapping"/>
      </w:r>
      <w:r>
        <w:rPr>
          <w:rFonts w:hint="eastAsia" w:ascii="宋体" w:hAnsi="宋体"/>
          <w:szCs w:val="21"/>
          <w:shd w:val="clear" w:color="auto" w:fill="FFFFFF"/>
        </w:rPr>
        <w:t>承包人提供低价风险担保的形式、金额及期限：</w:t>
      </w:r>
      <w:r>
        <w:rPr>
          <w:rFonts w:hint="eastAsia" w:ascii="宋体" w:hAnsi="宋体"/>
          <w:szCs w:val="21"/>
          <w:shd w:val="clear" w:color="auto" w:fill="FFFFFF"/>
        </w:rPr>
        <w:br w:type="textWrapping"/>
      </w:r>
      <w:r>
        <w:rPr>
          <w:rFonts w:hint="eastAsia" w:ascii="宋体" w:hAnsi="宋体"/>
          <w:szCs w:val="21"/>
          <w:shd w:val="clear" w:color="auto" w:fill="FFFFFF"/>
        </w:rPr>
        <w:t>（1）低价风险担保的形式：现金或不可撤销的见索即付银行保函；</w:t>
      </w:r>
    </w:p>
    <w:p>
      <w:pPr>
        <w:widowControl/>
        <w:spacing w:line="400" w:lineRule="exact"/>
        <w:jc w:val="left"/>
        <w:rPr>
          <w:rFonts w:ascii="宋体" w:hAnsi="宋体"/>
          <w:szCs w:val="21"/>
        </w:rPr>
      </w:pPr>
      <w:r>
        <w:rPr>
          <w:rFonts w:hint="eastAsia" w:ascii="宋体" w:hAnsi="宋体"/>
          <w:szCs w:val="21"/>
          <w:shd w:val="clear" w:color="auto" w:fill="FFFFFF"/>
        </w:rPr>
        <w:t>（2）低价风险担保的金额：（最高限价×85%-中标价）×2；</w:t>
      </w:r>
      <w:r>
        <w:rPr>
          <w:rFonts w:hint="eastAsia" w:ascii="宋体" w:hAnsi="宋体"/>
          <w:szCs w:val="21"/>
          <w:shd w:val="clear" w:color="auto" w:fill="FFFFFF"/>
        </w:rPr>
        <w:br w:type="textWrapping"/>
      </w:r>
      <w:r>
        <w:rPr>
          <w:rFonts w:hint="eastAsia" w:ascii="宋体" w:hAnsi="宋体"/>
          <w:szCs w:val="21"/>
          <w:shd w:val="clear" w:color="auto" w:fill="FFFFFF"/>
        </w:rPr>
        <w:t>（3）低价风险担保的提交时间：承包人</w:t>
      </w:r>
      <w:r>
        <w:rPr>
          <w:rFonts w:ascii="宋体" w:hAnsi="宋体"/>
          <w:szCs w:val="21"/>
          <w:shd w:val="clear" w:color="auto" w:fill="FFFFFF"/>
        </w:rPr>
        <w:t>在收到发包人</w:t>
      </w:r>
      <w:r>
        <w:rPr>
          <w:rFonts w:hint="eastAsia" w:ascii="宋体" w:hAnsi="宋体"/>
          <w:szCs w:val="21"/>
          <w:shd w:val="clear" w:color="auto" w:fill="FFFFFF"/>
        </w:rPr>
        <w:t>发出</w:t>
      </w:r>
      <w:r>
        <w:rPr>
          <w:rFonts w:ascii="宋体" w:hAnsi="宋体"/>
          <w:szCs w:val="21"/>
          <w:shd w:val="clear" w:color="auto" w:fill="FFFFFF"/>
        </w:rPr>
        <w:t>低价风险担保书面通知后</w:t>
      </w:r>
      <w:r>
        <w:rPr>
          <w:rFonts w:hint="eastAsia" w:ascii="宋体" w:hAnsi="宋体"/>
          <w:szCs w:val="21"/>
          <w:shd w:val="clear" w:color="auto" w:fill="FFFFFF"/>
        </w:rPr>
        <w:t>10个</w:t>
      </w:r>
      <w:r>
        <w:rPr>
          <w:rFonts w:ascii="宋体" w:hAnsi="宋体"/>
          <w:szCs w:val="21"/>
          <w:shd w:val="clear" w:color="auto" w:fill="FFFFFF"/>
        </w:rPr>
        <w:t>工作日内，向发包人</w:t>
      </w:r>
      <w:r>
        <w:rPr>
          <w:rFonts w:hint="eastAsia" w:ascii="宋体" w:hAnsi="宋体"/>
          <w:szCs w:val="21"/>
          <w:shd w:val="clear" w:color="auto" w:fill="FFFFFF"/>
        </w:rPr>
        <w:t>提交</w:t>
      </w:r>
      <w:r>
        <w:rPr>
          <w:rFonts w:ascii="宋体" w:hAnsi="宋体"/>
          <w:szCs w:val="21"/>
          <w:shd w:val="clear" w:color="auto" w:fill="FFFFFF"/>
        </w:rPr>
        <w:t>低价风险担保</w:t>
      </w:r>
      <w:r>
        <w:rPr>
          <w:rFonts w:hint="eastAsia" w:ascii="宋体" w:hAnsi="宋体"/>
          <w:szCs w:val="21"/>
          <w:shd w:val="clear" w:color="auto" w:fill="FFFFFF"/>
        </w:rPr>
        <w:t>。</w:t>
      </w:r>
      <w:r>
        <w:rPr>
          <w:rFonts w:hint="eastAsia" w:ascii="宋体" w:hAnsi="宋体"/>
          <w:szCs w:val="21"/>
          <w:shd w:val="clear" w:color="auto" w:fill="FFFFFF"/>
        </w:rPr>
        <w:br w:type="textWrapping"/>
      </w:r>
      <w:r>
        <w:rPr>
          <w:rFonts w:hint="eastAsia" w:ascii="宋体" w:hAnsi="宋体"/>
          <w:szCs w:val="21"/>
          <w:shd w:val="clear" w:color="auto" w:fill="FFFFFF"/>
        </w:rPr>
        <w:t>（4）低价风险担保的期限：自提交低价风险担保之日起至竣工验收合格之日止。</w:t>
      </w:r>
      <w:r>
        <w:rPr>
          <w:rFonts w:hint="eastAsia" w:ascii="宋体" w:hAnsi="宋体"/>
          <w:szCs w:val="21"/>
          <w:shd w:val="clear" w:color="auto" w:fill="FFFFFF"/>
        </w:rPr>
        <w:br w:type="textWrapping"/>
      </w:r>
      <w:r>
        <w:rPr>
          <w:rFonts w:hint="eastAsia" w:ascii="宋体" w:hAnsi="宋体"/>
          <w:szCs w:val="21"/>
          <w:shd w:val="clear" w:color="auto" w:fill="FFFFFF"/>
        </w:rPr>
        <w:t>低价风险担保的退还时间：工程</w:t>
      </w:r>
      <w:r>
        <w:rPr>
          <w:rFonts w:ascii="宋体" w:hAnsi="宋体"/>
          <w:szCs w:val="21"/>
          <w:shd w:val="clear" w:color="auto" w:fill="FFFFFF"/>
        </w:rPr>
        <w:t>通过竣工验收后14</w:t>
      </w:r>
      <w:r>
        <w:rPr>
          <w:rFonts w:hint="eastAsia" w:ascii="宋体" w:hAnsi="宋体"/>
          <w:szCs w:val="21"/>
          <w:shd w:val="clear" w:color="auto" w:fill="FFFFFF"/>
        </w:rPr>
        <w:t>日</w:t>
      </w:r>
      <w:r>
        <w:rPr>
          <w:rFonts w:ascii="宋体" w:hAnsi="宋体"/>
          <w:szCs w:val="21"/>
          <w:shd w:val="clear" w:color="auto" w:fill="FFFFFF"/>
        </w:rPr>
        <w:t>内一次性退还，不计息</w:t>
      </w:r>
      <w:r>
        <w:rPr>
          <w:rFonts w:hint="eastAsia" w:ascii="宋体" w:hAnsi="宋体"/>
          <w:szCs w:val="21"/>
          <w:shd w:val="clear" w:color="auto" w:fill="FFFFFF"/>
        </w:rPr>
        <w:t>；</w:t>
      </w:r>
      <w:r>
        <w:rPr>
          <w:rFonts w:ascii="宋体" w:hAnsi="宋体"/>
          <w:szCs w:val="21"/>
          <w:shd w:val="clear" w:color="auto" w:fill="FFFFFF"/>
        </w:rPr>
        <w:t>若因发包人原因导致工期延后较长或承包人提交竣工报告后较长时间无法验收，经承包人申请，并经发包人同意，发包人对履约保证金可酌情予以退还。</w:t>
      </w:r>
      <w:r>
        <w:rPr>
          <w:rFonts w:hint="eastAsia" w:ascii="宋体" w:hAnsi="宋体"/>
          <w:szCs w:val="21"/>
          <w:shd w:val="clear" w:color="auto" w:fill="FFFFFF"/>
        </w:rPr>
        <w:br w:type="textWrapping"/>
      </w:r>
      <w:r>
        <w:rPr>
          <w:rFonts w:hint="eastAsia" w:ascii="宋体" w:hAnsi="宋体"/>
          <w:szCs w:val="21"/>
          <w:shd w:val="clear" w:color="auto" w:fill="FFFFFF"/>
        </w:rPr>
        <w:t>（5）低价风险担保的扣减：</w:t>
      </w:r>
      <w:r>
        <w:rPr>
          <w:rFonts w:hint="eastAsia" w:ascii="宋体" w:hAnsi="宋体"/>
          <w:szCs w:val="21"/>
          <w:shd w:val="clear" w:color="auto" w:fill="FFFFFF"/>
        </w:rPr>
        <w:br w:type="textWrapping"/>
      </w:r>
      <w:r>
        <w:rPr>
          <w:rFonts w:hint="eastAsia" w:ascii="宋体" w:hAnsi="宋体"/>
          <w:szCs w:val="21"/>
          <w:shd w:val="clear" w:color="auto" w:fill="FFFFFF"/>
        </w:rPr>
        <w:t>①承包人在工程施工期间，以其投标时填报的工程主要材料价格低于同期工程造价管理机构发布的信息价格为由，拒绝材料采购或因此导致工程窝工或停工等原因，给发包人造成直接经济损失的，按低价风险担保金额的50～100%扣减，直至解除合同；</w:t>
      </w:r>
      <w:r>
        <w:rPr>
          <w:rFonts w:hint="eastAsia" w:ascii="宋体" w:hAnsi="宋体"/>
          <w:szCs w:val="21"/>
          <w:shd w:val="clear" w:color="auto" w:fill="FFFFFF"/>
        </w:rPr>
        <w:br w:type="textWrapping"/>
      </w:r>
      <w:r>
        <w:rPr>
          <w:rFonts w:hint="eastAsia" w:ascii="宋体" w:hAnsi="宋体"/>
          <w:szCs w:val="21"/>
          <w:shd w:val="clear" w:color="auto" w:fill="FFFFFF"/>
        </w:rPr>
        <w:t>②承包人在工程施工期间或竣工验收时，工程质量不符合国家现行有关施工质量验收规范要求的，按低价风险担保金额的50～100%扣减，直至解除合同；</w:t>
      </w:r>
      <w:r>
        <w:rPr>
          <w:rFonts w:hint="eastAsia" w:ascii="宋体" w:hAnsi="宋体"/>
          <w:szCs w:val="21"/>
          <w:shd w:val="clear" w:color="auto" w:fill="FFFFFF"/>
        </w:rPr>
        <w:br w:type="textWrapping"/>
      </w:r>
      <w:r>
        <w:rPr>
          <w:rFonts w:hint="eastAsia" w:ascii="宋体" w:hAnsi="宋体"/>
          <w:szCs w:val="21"/>
          <w:shd w:val="clear" w:color="auto" w:fill="FFFFFF"/>
        </w:rPr>
        <w:t>③承包人因16条原因被解除合同的，低价风险担保将全额扣除；</w:t>
      </w:r>
      <w:r>
        <w:rPr>
          <w:rFonts w:hint="eastAsia" w:ascii="宋体" w:hAnsi="宋体"/>
          <w:szCs w:val="21"/>
          <w:shd w:val="clear" w:color="auto" w:fill="FFFFFF"/>
        </w:rPr>
        <w:br w:type="textWrapping"/>
      </w:r>
      <w:r>
        <w:rPr>
          <w:rFonts w:hint="eastAsia" w:ascii="宋体" w:hAnsi="宋体"/>
          <w:szCs w:val="21"/>
          <w:shd w:val="clear" w:color="auto" w:fill="FFFFFF"/>
        </w:rPr>
        <w:t>④因承包人过错导致的其他情形：双方另行约定。</w:t>
      </w:r>
    </w:p>
    <w:p>
      <w:pPr>
        <w:widowControl/>
        <w:spacing w:line="400" w:lineRule="exact"/>
        <w:ind w:firstLine="422" w:firstLineChars="200"/>
        <w:jc w:val="left"/>
        <w:rPr>
          <w:rFonts w:ascii="宋体" w:hAnsi="宋体" w:cs="宋体"/>
          <w:b/>
          <w:szCs w:val="21"/>
        </w:rPr>
      </w:pPr>
    </w:p>
    <w:p>
      <w:pPr>
        <w:widowControl/>
        <w:autoSpaceDE w:val="0"/>
        <w:autoSpaceDN w:val="0"/>
        <w:adjustRightInd w:val="0"/>
        <w:spacing w:line="400" w:lineRule="exact"/>
        <w:ind w:firstLine="422" w:firstLineChars="200"/>
        <w:outlineLvl w:val="3"/>
        <w:rPr>
          <w:rFonts w:ascii="宋体" w:hAnsi="宋体"/>
          <w:b/>
          <w:szCs w:val="21"/>
        </w:rPr>
      </w:pPr>
      <w:r>
        <w:rPr>
          <w:rFonts w:ascii="宋体" w:hAnsi="宋体"/>
          <w:b/>
          <w:szCs w:val="21"/>
        </w:rPr>
        <w:t>4</w:t>
      </w:r>
      <w:bookmarkStart w:id="396" w:name="_Toc296503162"/>
      <w:bookmarkStart w:id="397" w:name="_Toc296890990"/>
      <w:bookmarkStart w:id="398" w:name="_Toc296891202"/>
      <w:bookmarkStart w:id="399" w:name="_Toc296944501"/>
      <w:bookmarkStart w:id="400" w:name="_Toc297120462"/>
      <w:bookmarkStart w:id="401" w:name="_Toc292559366"/>
      <w:bookmarkStart w:id="402" w:name="_Toc297048348"/>
      <w:bookmarkStart w:id="403" w:name="_Toc292559871"/>
      <w:bookmarkStart w:id="404" w:name="_Toc267251413"/>
      <w:bookmarkStart w:id="405" w:name="_Toc296346663"/>
      <w:bookmarkStart w:id="406" w:name="_Toc296347161"/>
      <w:r>
        <w:rPr>
          <w:rFonts w:ascii="宋体" w:hAnsi="宋体"/>
          <w:b/>
          <w:szCs w:val="21"/>
        </w:rPr>
        <w:t>. 监</w:t>
      </w:r>
      <w:bookmarkEnd w:id="396"/>
      <w:bookmarkEnd w:id="397"/>
      <w:bookmarkEnd w:id="398"/>
      <w:bookmarkEnd w:id="399"/>
      <w:bookmarkEnd w:id="400"/>
      <w:bookmarkEnd w:id="401"/>
      <w:bookmarkEnd w:id="402"/>
      <w:bookmarkEnd w:id="403"/>
      <w:bookmarkEnd w:id="404"/>
      <w:bookmarkEnd w:id="405"/>
      <w:bookmarkEnd w:id="406"/>
      <w:r>
        <w:rPr>
          <w:rFonts w:ascii="宋体" w:hAnsi="宋体"/>
          <w:b/>
          <w:szCs w:val="21"/>
        </w:rPr>
        <w:t>理人</w:t>
      </w:r>
      <w:bookmarkEnd w:id="395"/>
    </w:p>
    <w:p>
      <w:pPr>
        <w:widowControl/>
        <w:spacing w:line="400" w:lineRule="exact"/>
        <w:ind w:firstLine="420" w:firstLineChars="200"/>
        <w:jc w:val="left"/>
        <w:rPr>
          <w:rFonts w:ascii="宋体" w:hAnsi="宋体"/>
          <w:szCs w:val="21"/>
        </w:rPr>
      </w:pPr>
      <w:r>
        <w:rPr>
          <w:rFonts w:ascii="宋体" w:hAnsi="宋体"/>
          <w:szCs w:val="21"/>
        </w:rPr>
        <w:t>4.1监理人员</w:t>
      </w:r>
    </w:p>
    <w:p>
      <w:pPr>
        <w:widowControl/>
        <w:spacing w:line="400" w:lineRule="exact"/>
        <w:ind w:firstLine="420" w:firstLineChars="200"/>
        <w:jc w:val="left"/>
        <w:rPr>
          <w:rFonts w:ascii="宋体" w:hAnsi="宋体"/>
          <w:szCs w:val="21"/>
        </w:rPr>
      </w:pPr>
      <w:r>
        <w:rPr>
          <w:rFonts w:ascii="宋体" w:hAnsi="宋体"/>
          <w:szCs w:val="21"/>
        </w:rPr>
        <w:t xml:space="preserve">总监理工程师： </w:t>
      </w:r>
    </w:p>
    <w:p>
      <w:pPr>
        <w:widowControl/>
        <w:spacing w:line="400" w:lineRule="exact"/>
        <w:ind w:firstLine="420" w:firstLineChars="200"/>
        <w:jc w:val="left"/>
        <w:rPr>
          <w:rFonts w:ascii="宋体" w:hAnsi="宋体"/>
          <w:szCs w:val="21"/>
        </w:rPr>
      </w:pPr>
      <w:r>
        <w:rPr>
          <w:rFonts w:ascii="宋体" w:hAnsi="宋体"/>
          <w:szCs w:val="21"/>
        </w:rPr>
        <w:t>姓    名：</w:t>
      </w:r>
      <w:r>
        <w:rPr>
          <w:rFonts w:ascii="宋体" w:hAnsi="宋体"/>
          <w:szCs w:val="21"/>
          <w:u w:val="single"/>
        </w:rPr>
        <w:t>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监理工程师执业资格证书号：</w:t>
      </w:r>
      <w:r>
        <w:rPr>
          <w:rFonts w:ascii="宋体" w:hAnsi="宋体"/>
          <w:szCs w:val="21"/>
          <w:u w:val="single"/>
        </w:rPr>
        <w:t>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联系电话：</w:t>
      </w:r>
      <w:r>
        <w:rPr>
          <w:rFonts w:ascii="宋体" w:hAnsi="宋体"/>
          <w:szCs w:val="21"/>
          <w:u w:val="single"/>
        </w:rPr>
        <w:t>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pPr>
        <w:widowControl/>
        <w:autoSpaceDE w:val="0"/>
        <w:autoSpaceDN w:val="0"/>
        <w:adjustRightInd w:val="0"/>
        <w:spacing w:line="400" w:lineRule="exact"/>
        <w:ind w:firstLine="422" w:firstLineChars="200"/>
        <w:outlineLvl w:val="3"/>
        <w:rPr>
          <w:rFonts w:ascii="宋体" w:hAnsi="宋体"/>
          <w:b/>
          <w:szCs w:val="21"/>
        </w:rPr>
      </w:pPr>
      <w:bookmarkStart w:id="407" w:name="_Toc267251418"/>
      <w:bookmarkStart w:id="408" w:name="_Toc351203637"/>
      <w:r>
        <w:rPr>
          <w:rFonts w:ascii="宋体" w:hAnsi="宋体"/>
          <w:b/>
          <w:szCs w:val="21"/>
        </w:rPr>
        <w:t>5</w:t>
      </w:r>
      <w:bookmarkEnd w:id="407"/>
      <w:bookmarkStart w:id="409" w:name="_Toc296503163"/>
      <w:bookmarkStart w:id="410" w:name="_Toc296890991"/>
      <w:bookmarkStart w:id="411" w:name="_Toc296347162"/>
      <w:bookmarkStart w:id="412" w:name="_Toc292559367"/>
      <w:bookmarkStart w:id="413" w:name="_Toc292559872"/>
      <w:bookmarkStart w:id="414" w:name="_Toc296944502"/>
      <w:bookmarkStart w:id="415" w:name="_Toc296891203"/>
      <w:bookmarkStart w:id="416" w:name="_Toc297120463"/>
      <w:bookmarkStart w:id="417" w:name="_Toc297048349"/>
      <w:bookmarkStart w:id="418" w:name="_Toc296346664"/>
      <w:r>
        <w:rPr>
          <w:rFonts w:ascii="宋体" w:hAnsi="宋体"/>
          <w:b/>
          <w:szCs w:val="21"/>
        </w:rPr>
        <w:t>. 工程质量</w:t>
      </w:r>
      <w:bookmarkEnd w:id="408"/>
    </w:p>
    <w:p>
      <w:pPr>
        <w:widowControl/>
        <w:spacing w:line="400" w:lineRule="exact"/>
        <w:ind w:firstLine="420" w:firstLineChars="200"/>
        <w:jc w:val="left"/>
        <w:rPr>
          <w:rFonts w:ascii="宋体" w:hAnsi="宋体"/>
          <w:szCs w:val="21"/>
        </w:rPr>
      </w:pPr>
      <w:r>
        <w:rPr>
          <w:rFonts w:ascii="宋体" w:hAnsi="宋体"/>
          <w:szCs w:val="21"/>
        </w:rPr>
        <w:t>5.1 质量要求</w:t>
      </w:r>
    </w:p>
    <w:p>
      <w:pPr>
        <w:widowControl/>
        <w:adjustRightInd w:val="0"/>
        <w:snapToGrid w:val="0"/>
        <w:spacing w:line="400" w:lineRule="exact"/>
        <w:ind w:firstLine="420" w:firstLineChars="200"/>
        <w:jc w:val="left"/>
        <w:rPr>
          <w:rFonts w:ascii="宋体" w:hAnsi="宋体"/>
          <w:szCs w:val="21"/>
        </w:rPr>
      </w:pPr>
      <w:bookmarkStart w:id="419" w:name="_Toc297123496"/>
      <w:bookmarkStart w:id="420" w:name="_Toc303539106"/>
      <w:bookmarkStart w:id="421" w:name="_Toc300934949"/>
      <w:bookmarkStart w:id="422" w:name="_Toc304295527"/>
      <w:bookmarkStart w:id="423" w:name="_Toc297216155"/>
      <w:bookmarkStart w:id="424" w:name="_Toc312677997"/>
      <w:bookmarkStart w:id="425" w:name="_Toc318581164"/>
      <w:r>
        <w:rPr>
          <w:rFonts w:ascii="宋体" w:hAnsi="宋体"/>
          <w:szCs w:val="21"/>
        </w:rPr>
        <w:t>5.1</w:t>
      </w:r>
      <w:r>
        <w:rPr>
          <w:rFonts w:hint="eastAsia" w:ascii="宋体" w:hAnsi="宋体"/>
          <w:szCs w:val="21"/>
        </w:rPr>
        <w:t>.1</w:t>
      </w:r>
      <w:r>
        <w:rPr>
          <w:rFonts w:ascii="宋体" w:hAnsi="宋体"/>
          <w:szCs w:val="21"/>
        </w:rPr>
        <w:t>特殊质量标准和要求：</w:t>
      </w:r>
      <w:sdt>
        <w:sdtPr>
          <w:rPr>
            <w:rFonts w:ascii="宋体" w:hAnsi="宋体"/>
            <w:szCs w:val="21"/>
          </w:rPr>
          <w:id w:val="-1641959159"/>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szCs w:val="21"/>
        </w:rPr>
        <w:t>一次性</w:t>
      </w:r>
      <w:r>
        <w:rPr>
          <w:rFonts w:ascii="宋体" w:hAnsi="宋体"/>
          <w:szCs w:val="21"/>
        </w:rPr>
        <w:t>验收合格</w:t>
      </w:r>
      <w:r>
        <w:rPr>
          <w:rFonts w:hint="eastAsia" w:ascii="宋体" w:hAnsi="宋体"/>
          <w:szCs w:val="21"/>
        </w:rPr>
        <w:t xml:space="preserve">  </w:t>
      </w:r>
      <w:sdt>
        <w:sdtPr>
          <w:rPr>
            <w:rFonts w:ascii="宋体" w:hAnsi="宋体"/>
            <w:szCs w:val="21"/>
          </w:rPr>
          <w:id w:val="-833913221"/>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szCs w:val="21"/>
        </w:rPr>
        <w:t>其它</w:t>
      </w:r>
    </w:p>
    <w:p>
      <w:pPr>
        <w:widowControl/>
        <w:adjustRightInd w:val="0"/>
        <w:snapToGrid w:val="0"/>
        <w:spacing w:line="400" w:lineRule="exact"/>
        <w:ind w:firstLine="420" w:firstLineChars="200"/>
        <w:jc w:val="left"/>
        <w:rPr>
          <w:rFonts w:ascii="宋体" w:hAnsi="宋体"/>
          <w:szCs w:val="21"/>
        </w:rPr>
      </w:pPr>
      <w:bookmarkStart w:id="426" w:name="_Toc294743636"/>
      <w:bookmarkStart w:id="427" w:name="_Toc315873001"/>
      <w:bookmarkStart w:id="428" w:name="_Toc17787"/>
      <w:r>
        <w:rPr>
          <w:rFonts w:hint="eastAsia" w:ascii="宋体" w:hAnsi="宋体"/>
          <w:szCs w:val="21"/>
        </w:rPr>
        <w:t>5.2质量保证措施</w:t>
      </w:r>
    </w:p>
    <w:p>
      <w:pPr>
        <w:widowControl/>
        <w:adjustRightInd w:val="0"/>
        <w:snapToGrid w:val="0"/>
        <w:spacing w:line="400" w:lineRule="exact"/>
        <w:ind w:firstLine="420" w:firstLineChars="200"/>
        <w:jc w:val="left"/>
        <w:rPr>
          <w:rFonts w:ascii="宋体" w:hAnsi="宋体"/>
          <w:szCs w:val="21"/>
        </w:rPr>
      </w:pPr>
      <w:r>
        <w:rPr>
          <w:rFonts w:ascii="宋体" w:hAnsi="宋体"/>
          <w:szCs w:val="21"/>
        </w:rPr>
        <w:t>5.2.2</w:t>
      </w:r>
      <w:r>
        <w:rPr>
          <w:rFonts w:hint="eastAsia" w:ascii="宋体" w:hAnsi="宋体"/>
          <w:szCs w:val="21"/>
        </w:rPr>
        <w:t>承包人的质量</w:t>
      </w:r>
      <w:bookmarkEnd w:id="426"/>
      <w:bookmarkEnd w:id="427"/>
      <w:bookmarkEnd w:id="428"/>
      <w:r>
        <w:rPr>
          <w:rFonts w:hint="eastAsia" w:ascii="宋体" w:hAnsi="宋体"/>
          <w:szCs w:val="21"/>
        </w:rPr>
        <w:t>管理</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5.2.2.1承包人提交工程质量保证措施文件的期限：</w:t>
      </w:r>
      <w:r>
        <w:rPr>
          <w:rFonts w:hint="eastAsia" w:ascii="宋体" w:hAnsi="宋体"/>
          <w:szCs w:val="21"/>
          <w:u w:val="single"/>
        </w:rPr>
        <w:t>与施工组织设计同时提交</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ascii="宋体" w:hAnsi="宋体"/>
          <w:szCs w:val="21"/>
        </w:rPr>
        <w:t>5.3 隐蔽工程检查</w:t>
      </w:r>
    </w:p>
    <w:p>
      <w:pPr>
        <w:widowControl/>
        <w:spacing w:line="400" w:lineRule="exact"/>
        <w:ind w:firstLine="420" w:firstLineChars="200"/>
        <w:jc w:val="left"/>
        <w:rPr>
          <w:rFonts w:ascii="宋体" w:hAnsi="宋体"/>
          <w:szCs w:val="21"/>
        </w:rPr>
      </w:pPr>
      <w:r>
        <w:rPr>
          <w:rFonts w:ascii="宋体" w:hAnsi="宋体"/>
          <w:szCs w:val="21"/>
        </w:rPr>
        <w:t>5.3.2</w:t>
      </w:r>
      <w:r>
        <w:rPr>
          <w:rFonts w:hint="eastAsia" w:ascii="宋体" w:hAnsi="宋体"/>
          <w:szCs w:val="21"/>
        </w:rPr>
        <w:t>检查程序</w:t>
      </w:r>
    </w:p>
    <w:p>
      <w:pPr>
        <w:widowControl/>
        <w:spacing w:line="400" w:lineRule="exact"/>
        <w:ind w:firstLine="420" w:firstLineChars="200"/>
        <w:jc w:val="left"/>
        <w:rPr>
          <w:rFonts w:ascii="宋体" w:hAnsi="宋体"/>
          <w:szCs w:val="21"/>
          <w:u w:val="single"/>
        </w:rPr>
      </w:pPr>
      <w:r>
        <w:rPr>
          <w:rFonts w:hint="eastAsia" w:ascii="宋体" w:hAnsi="宋体"/>
          <w:szCs w:val="21"/>
        </w:rPr>
        <w:t>5.3.2.1</w:t>
      </w:r>
      <w:r>
        <w:rPr>
          <w:rFonts w:ascii="宋体" w:hAnsi="宋体"/>
          <w:szCs w:val="21"/>
        </w:rPr>
        <w:t>承包人提前通知监理人隐蔽工程检查的期限的约定：</w:t>
      </w:r>
      <w:r>
        <w:rPr>
          <w:rFonts w:ascii="宋体" w:hAnsi="宋体"/>
          <w:szCs w:val="21"/>
          <w:u w:val="single"/>
        </w:rPr>
        <w:t>24</w:t>
      </w:r>
      <w:r>
        <w:rPr>
          <w:rFonts w:hint="eastAsia" w:ascii="宋体" w:hAnsi="宋体"/>
          <w:szCs w:val="21"/>
          <w:u w:val="single"/>
        </w:rPr>
        <w:t xml:space="preserve">小时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监理人不能按时进行检查时，应提前</w:t>
      </w:r>
      <w:r>
        <w:rPr>
          <w:rFonts w:ascii="宋体" w:hAnsi="宋体"/>
          <w:szCs w:val="21"/>
          <w:u w:val="single"/>
        </w:rPr>
        <w:t>24</w:t>
      </w:r>
      <w:r>
        <w:rPr>
          <w:rFonts w:ascii="宋体" w:hAnsi="宋体"/>
          <w:szCs w:val="21"/>
        </w:rPr>
        <w:t>小时提交书面延期要求。</w:t>
      </w:r>
    </w:p>
    <w:p>
      <w:pPr>
        <w:widowControl/>
        <w:spacing w:line="400" w:lineRule="exact"/>
        <w:ind w:firstLine="420" w:firstLineChars="200"/>
        <w:jc w:val="left"/>
        <w:rPr>
          <w:rFonts w:ascii="宋体" w:hAnsi="宋体"/>
          <w:szCs w:val="21"/>
        </w:rPr>
      </w:pPr>
      <w:r>
        <w:rPr>
          <w:rFonts w:ascii="宋体" w:hAnsi="宋体"/>
          <w:szCs w:val="21"/>
        </w:rPr>
        <w:t>关于延期最长不得超过：</w:t>
      </w:r>
      <w:r>
        <w:rPr>
          <w:rFonts w:ascii="宋体" w:hAnsi="宋体"/>
          <w:szCs w:val="21"/>
          <w:u w:val="single"/>
        </w:rPr>
        <w:t xml:space="preserve"> 24</w:t>
      </w:r>
      <w:r>
        <w:rPr>
          <w:rFonts w:ascii="宋体" w:hAnsi="宋体"/>
          <w:szCs w:val="21"/>
        </w:rPr>
        <w:t>小时。</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5.3.2.2对于隐蔽工程发包人有权委托有资质的检测单位进行现场抽检，一旦发现问题，承包人必须按照要求进行整改，检测费用由承包人承担并按专用合同条款之承包人违约责任承担违约责任。</w:t>
      </w:r>
    </w:p>
    <w:p>
      <w:pPr>
        <w:widowControl/>
        <w:autoSpaceDE w:val="0"/>
        <w:autoSpaceDN w:val="0"/>
        <w:adjustRightInd w:val="0"/>
        <w:spacing w:line="400" w:lineRule="exact"/>
        <w:ind w:firstLine="420" w:firstLineChars="200"/>
        <w:jc w:val="left"/>
        <w:rPr>
          <w:rFonts w:ascii="宋体" w:hAnsi="宋体"/>
          <w:szCs w:val="21"/>
        </w:rPr>
      </w:pPr>
      <w:r>
        <w:rPr>
          <w:rFonts w:ascii="宋体" w:hAnsi="宋体"/>
          <w:szCs w:val="21"/>
        </w:rPr>
        <w:t>5.3.</w:t>
      </w:r>
      <w:r>
        <w:rPr>
          <w:rFonts w:hint="eastAsia" w:ascii="宋体" w:hAnsi="宋体"/>
          <w:szCs w:val="21"/>
        </w:rPr>
        <w:t>2.3隐蔽工程在隐蔽前，承包人应当通知发包人（代建单位）和质量监督机构、监理单位、地勘设计单位、造价</w:t>
      </w:r>
      <w:r>
        <w:rPr>
          <w:rFonts w:ascii="宋体" w:hAnsi="宋体"/>
          <w:szCs w:val="21"/>
        </w:rPr>
        <w:t>咨询机构</w:t>
      </w:r>
      <w:r>
        <w:rPr>
          <w:rFonts w:hint="eastAsia" w:ascii="宋体" w:hAnsi="宋体"/>
          <w:szCs w:val="21"/>
        </w:rPr>
        <w:t>等</w:t>
      </w:r>
      <w:r>
        <w:rPr>
          <w:rFonts w:ascii="宋体" w:hAnsi="宋体"/>
          <w:szCs w:val="21"/>
        </w:rPr>
        <w:t>进行验收</w:t>
      </w:r>
      <w:r>
        <w:rPr>
          <w:rFonts w:hint="eastAsia" w:ascii="宋体" w:hAnsi="宋体"/>
          <w:szCs w:val="21"/>
        </w:rPr>
        <w:t>，对未经监理人员验收或验收不合格的工序，监理人员应拒绝签认，并要求承包单位严禁进入下一道工序的施工。</w:t>
      </w:r>
    </w:p>
    <w:p>
      <w:pPr>
        <w:widowControl/>
        <w:autoSpaceDE w:val="0"/>
        <w:autoSpaceDN w:val="0"/>
        <w:adjustRightInd w:val="0"/>
        <w:spacing w:line="400" w:lineRule="exact"/>
        <w:ind w:firstLine="420" w:firstLineChars="200"/>
        <w:jc w:val="left"/>
        <w:rPr>
          <w:rFonts w:ascii="宋体" w:hAnsi="宋体"/>
          <w:szCs w:val="21"/>
        </w:rPr>
      </w:pPr>
      <w:r>
        <w:rPr>
          <w:rFonts w:hint="eastAsia" w:ascii="宋体" w:hAnsi="宋体"/>
          <w:szCs w:val="21"/>
        </w:rPr>
        <w:t>5.5双方约定工程质量有争议时：</w:t>
      </w:r>
      <w:r>
        <w:rPr>
          <w:rFonts w:hint="eastAsia" w:ascii="宋体" w:hAnsi="宋体"/>
          <w:szCs w:val="21"/>
          <w:u w:val="single"/>
        </w:rPr>
        <w:t>提请</w:t>
      </w:r>
      <w:r>
        <w:rPr>
          <w:rFonts w:hint="eastAsia" w:ascii="Arial" w:hAnsi="Arial" w:cs="Arial"/>
          <w:szCs w:val="21"/>
          <w:u w:val="single"/>
          <w:shd w:val="clear" w:color="auto" w:fill="FFFFFF"/>
        </w:rPr>
        <w:t>两江新区</w:t>
      </w:r>
      <w:r>
        <w:rPr>
          <w:rFonts w:ascii="Arial" w:hAnsi="Arial" w:cs="Arial"/>
          <w:szCs w:val="21"/>
          <w:u w:val="single"/>
          <w:shd w:val="clear" w:color="auto" w:fill="FFFFFF"/>
        </w:rPr>
        <w:t>质量</w:t>
      </w:r>
      <w:r>
        <w:rPr>
          <w:rFonts w:hint="eastAsia" w:ascii="Arial" w:hAnsi="Arial" w:cs="Arial"/>
          <w:szCs w:val="21"/>
          <w:u w:val="single"/>
          <w:shd w:val="clear" w:color="auto" w:fill="FFFFFF"/>
        </w:rPr>
        <w:t>监督</w:t>
      </w:r>
      <w:r>
        <w:rPr>
          <w:rFonts w:ascii="Arial" w:hAnsi="Arial" w:cs="Arial"/>
          <w:szCs w:val="21"/>
          <w:u w:val="single"/>
          <w:shd w:val="clear" w:color="auto" w:fill="FFFFFF"/>
        </w:rPr>
        <w:t>管理站认定</w:t>
      </w:r>
      <w:r>
        <w:rPr>
          <w:rFonts w:hint="eastAsia" w:ascii="宋体" w:hAnsi="宋体"/>
          <w:szCs w:val="21"/>
        </w:rPr>
        <w:t xml:space="preserve">。 </w:t>
      </w:r>
    </w:p>
    <w:p>
      <w:pPr>
        <w:widowControl/>
        <w:autoSpaceDE w:val="0"/>
        <w:autoSpaceDN w:val="0"/>
        <w:adjustRightInd w:val="0"/>
        <w:spacing w:line="400" w:lineRule="exact"/>
        <w:ind w:firstLine="105" w:firstLineChars="50"/>
        <w:outlineLvl w:val="3"/>
        <w:rPr>
          <w:rFonts w:ascii="宋体" w:hAnsi="宋体"/>
          <w:b/>
          <w:szCs w:val="21"/>
        </w:rPr>
      </w:pPr>
      <w:bookmarkStart w:id="429" w:name="_Toc351203638"/>
      <w:r>
        <w:rPr>
          <w:rFonts w:ascii="宋体" w:hAnsi="宋体"/>
          <w:b/>
          <w:szCs w:val="21"/>
        </w:rPr>
        <w:t>6. 安全文明施工与环境保护</w:t>
      </w:r>
      <w:bookmarkEnd w:id="429"/>
    </w:p>
    <w:p>
      <w:pPr>
        <w:widowControl/>
        <w:spacing w:line="400" w:lineRule="exact"/>
        <w:ind w:firstLine="420" w:firstLineChars="200"/>
        <w:jc w:val="left"/>
        <w:rPr>
          <w:rFonts w:ascii="宋体" w:hAnsi="宋体"/>
          <w:szCs w:val="21"/>
        </w:rPr>
      </w:pPr>
      <w:r>
        <w:rPr>
          <w:rFonts w:ascii="宋体" w:hAnsi="宋体"/>
          <w:szCs w:val="21"/>
        </w:rPr>
        <w:t>6.1安全文明施工</w:t>
      </w:r>
    </w:p>
    <w:p>
      <w:pPr>
        <w:widowControl/>
        <w:spacing w:line="400" w:lineRule="exact"/>
        <w:ind w:firstLine="420" w:firstLineChars="200"/>
        <w:jc w:val="left"/>
        <w:rPr>
          <w:rFonts w:ascii="宋体" w:hAnsi="宋体"/>
          <w:szCs w:val="21"/>
        </w:rPr>
      </w:pPr>
      <w:r>
        <w:rPr>
          <w:rFonts w:hint="eastAsia" w:ascii="宋体" w:hAnsi="宋体"/>
          <w:szCs w:val="21"/>
        </w:rPr>
        <w:t>项目建设中执行《重庆市建设工程安全文明施工费计取及使用管理规定》（渝建发[2014]25号）等有关安全生产和文明施工的现行相关规定。</w:t>
      </w:r>
    </w:p>
    <w:p>
      <w:pPr>
        <w:widowControl/>
        <w:adjustRightInd w:val="0"/>
        <w:snapToGrid w:val="0"/>
        <w:spacing w:line="400" w:lineRule="exact"/>
        <w:ind w:firstLine="420" w:firstLineChars="200"/>
        <w:jc w:val="left"/>
        <w:rPr>
          <w:rFonts w:ascii="宋体" w:hAnsi="宋体"/>
          <w:szCs w:val="21"/>
        </w:rPr>
      </w:pPr>
      <w:r>
        <w:rPr>
          <w:rFonts w:ascii="宋体" w:hAnsi="宋体"/>
          <w:szCs w:val="21"/>
        </w:rPr>
        <w:t>6.1.4 关于治安保卫的特别约定：</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现场治安管理机构或联防组织的组建：</w:t>
      </w:r>
      <w:r>
        <w:rPr>
          <w:rFonts w:hint="eastAsia" w:ascii="宋体" w:hAnsi="宋体"/>
          <w:szCs w:val="21"/>
          <w:u w:val="single"/>
        </w:rPr>
        <w:t>由承包人负责，发包人协助</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施工场地治安管理计划和突发治安事件紧急预案的编制：</w:t>
      </w:r>
      <w:r>
        <w:rPr>
          <w:rFonts w:hint="eastAsia" w:ascii="宋体" w:hAnsi="宋体"/>
          <w:szCs w:val="21"/>
          <w:u w:val="single"/>
        </w:rPr>
        <w:t>由承包人负责，发包人协助</w:t>
      </w:r>
      <w:r>
        <w:rPr>
          <w:rFonts w:hint="eastAsia" w:ascii="宋体" w:hAnsi="宋体"/>
          <w:szCs w:val="21"/>
        </w:rPr>
        <w:t>。</w:t>
      </w:r>
    </w:p>
    <w:p>
      <w:pPr>
        <w:widowControl/>
        <w:spacing w:line="400" w:lineRule="exact"/>
        <w:ind w:firstLine="420" w:firstLineChars="200"/>
        <w:jc w:val="left"/>
        <w:rPr>
          <w:rFonts w:ascii="宋体" w:hAnsi="宋体"/>
          <w:szCs w:val="21"/>
        </w:rPr>
      </w:pPr>
      <w:r>
        <w:rPr>
          <w:rFonts w:hint="eastAsia" w:ascii="宋体" w:hAnsi="宋体"/>
          <w:szCs w:val="21"/>
        </w:rPr>
        <w:t>6.1.5 文明施工</w:t>
      </w:r>
    </w:p>
    <w:p>
      <w:pPr>
        <w:widowControl/>
        <w:spacing w:line="400" w:lineRule="exact"/>
        <w:ind w:firstLine="420" w:firstLineChars="200"/>
        <w:jc w:val="left"/>
        <w:rPr>
          <w:rFonts w:ascii="宋体" w:hAnsi="宋体"/>
          <w:szCs w:val="21"/>
        </w:rPr>
      </w:pPr>
      <w:r>
        <w:rPr>
          <w:rFonts w:hint="eastAsia" w:ascii="宋体" w:hAnsi="宋体"/>
          <w:szCs w:val="21"/>
        </w:rPr>
        <w:t>合同当事人对文明施工的要求：</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6.1.5.3 按规定做好施工区域封闭及场地硬化工作，施工围墙(围挡)等维护设施应安全、美观、耐久，非施工相关人员不许入内，必须满足上级有关部门的要求；</w:t>
      </w:r>
    </w:p>
    <w:p>
      <w:pPr>
        <w:widowControl/>
        <w:spacing w:line="400" w:lineRule="exact"/>
        <w:ind w:firstLine="420" w:firstLineChars="200"/>
        <w:jc w:val="left"/>
        <w:rPr>
          <w:rFonts w:ascii="宋体" w:hAnsi="宋体"/>
          <w:szCs w:val="21"/>
        </w:rPr>
      </w:pPr>
      <w:r>
        <w:rPr>
          <w:rFonts w:ascii="宋体" w:hAnsi="宋体"/>
          <w:szCs w:val="21"/>
        </w:rPr>
        <w:t>6.1.6 关于安全文明施工费支付比例和支付期限的约定：</w:t>
      </w:r>
      <w:r>
        <w:rPr>
          <w:rFonts w:hint="eastAsia" w:ascii="宋体" w:hAnsi="宋体"/>
          <w:szCs w:val="21"/>
        </w:rPr>
        <w:t>发包人应于签订施工合同后至工程开工前向承包人支付安全文明施工费的50%；余下安全文明施工费按施工进度支付，</w:t>
      </w:r>
      <w:r>
        <w:rPr>
          <w:rFonts w:hint="eastAsia"/>
          <w:szCs w:val="21"/>
        </w:rPr>
        <w:t>支付比例及时限同施工进度款相关约定。</w:t>
      </w:r>
    </w:p>
    <w:p>
      <w:pPr>
        <w:widowControl/>
        <w:spacing w:line="400" w:lineRule="exact"/>
        <w:ind w:firstLine="420" w:firstLineChars="200"/>
        <w:jc w:val="left"/>
        <w:rPr>
          <w:rFonts w:ascii="宋体" w:hAnsi="宋体"/>
          <w:szCs w:val="21"/>
        </w:rPr>
      </w:pPr>
      <w:r>
        <w:rPr>
          <w:rFonts w:hint="eastAsia" w:ascii="宋体" w:hAnsi="宋体"/>
          <w:szCs w:val="21"/>
        </w:rPr>
        <w:t>6.3承包人应按照《房屋建筑和市政基础设施工程施工扬尘控制工作方案》（渝建发〔20</w:t>
      </w:r>
      <w:r>
        <w:rPr>
          <w:rFonts w:ascii="宋体" w:hAnsi="宋体"/>
          <w:szCs w:val="21"/>
        </w:rPr>
        <w:t>15</w:t>
      </w:r>
      <w:r>
        <w:rPr>
          <w:rFonts w:hint="eastAsia" w:ascii="宋体" w:hAnsi="宋体"/>
          <w:szCs w:val="21"/>
        </w:rPr>
        <w:t>〕</w:t>
      </w:r>
      <w:r>
        <w:rPr>
          <w:rFonts w:ascii="宋体" w:hAnsi="宋体"/>
          <w:szCs w:val="21"/>
        </w:rPr>
        <w:t>45</w:t>
      </w:r>
      <w:r>
        <w:rPr>
          <w:rFonts w:hint="eastAsia" w:ascii="宋体" w:hAnsi="宋体"/>
          <w:szCs w:val="21"/>
        </w:rPr>
        <w:t>号）、《重庆市房屋建筑和市政基础设施工程现场文明施工标准》（渝建发〔2008〕169号）等相关规定履行好施工扬尘控制、文明施工等责任。</w:t>
      </w:r>
    </w:p>
    <w:bookmarkEnd w:id="419"/>
    <w:bookmarkEnd w:id="420"/>
    <w:bookmarkEnd w:id="421"/>
    <w:bookmarkEnd w:id="422"/>
    <w:bookmarkEnd w:id="423"/>
    <w:bookmarkEnd w:id="424"/>
    <w:bookmarkEnd w:id="425"/>
    <w:p>
      <w:pPr>
        <w:widowControl/>
        <w:autoSpaceDE w:val="0"/>
        <w:autoSpaceDN w:val="0"/>
        <w:adjustRightInd w:val="0"/>
        <w:spacing w:line="400" w:lineRule="exact"/>
        <w:ind w:firstLine="422" w:firstLineChars="200"/>
        <w:outlineLvl w:val="3"/>
        <w:rPr>
          <w:rFonts w:ascii="宋体" w:hAnsi="宋体"/>
          <w:b/>
          <w:szCs w:val="21"/>
        </w:rPr>
      </w:pPr>
      <w:bookmarkStart w:id="430" w:name="_Toc351203639"/>
      <w:r>
        <w:rPr>
          <w:rFonts w:ascii="宋体" w:hAnsi="宋体"/>
          <w:b/>
          <w:szCs w:val="21"/>
        </w:rPr>
        <w:t>7.工期和进度</w:t>
      </w:r>
      <w:bookmarkEnd w:id="430"/>
      <w:bookmarkStart w:id="431" w:name="_Toc300934966"/>
      <w:bookmarkStart w:id="432" w:name="_Toc312678005"/>
      <w:bookmarkStart w:id="433" w:name="_Toc303539123"/>
      <w:bookmarkStart w:id="434" w:name="_Toc297123514"/>
      <w:bookmarkStart w:id="435" w:name="_Toc304295541"/>
      <w:bookmarkStart w:id="436" w:name="_Toc297216173"/>
      <w:bookmarkStart w:id="437" w:name="_Toc312677479"/>
    </w:p>
    <w:p>
      <w:pPr>
        <w:widowControl/>
        <w:autoSpaceDE w:val="0"/>
        <w:autoSpaceDN w:val="0"/>
        <w:adjustRightInd w:val="0"/>
        <w:spacing w:line="400" w:lineRule="exact"/>
        <w:ind w:firstLine="420" w:firstLineChars="200"/>
        <w:jc w:val="left"/>
        <w:outlineLvl w:val="3"/>
        <w:rPr>
          <w:rFonts w:ascii="宋体" w:hAnsi="宋体"/>
          <w:szCs w:val="21"/>
        </w:rPr>
      </w:pPr>
      <w:r>
        <w:rPr>
          <w:rFonts w:hint="eastAsia" w:ascii="宋体" w:hAnsi="宋体"/>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pPr>
        <w:widowControl/>
        <w:autoSpaceDE w:val="0"/>
        <w:autoSpaceDN w:val="0"/>
        <w:adjustRightInd w:val="0"/>
        <w:spacing w:line="400" w:lineRule="exact"/>
        <w:ind w:firstLine="420" w:firstLineChars="200"/>
        <w:jc w:val="left"/>
        <w:outlineLvl w:val="3"/>
        <w:rPr>
          <w:rFonts w:ascii="宋体" w:hAnsi="宋体"/>
          <w:szCs w:val="21"/>
        </w:rPr>
      </w:pPr>
      <w:r>
        <w:rPr>
          <w:rFonts w:hint="eastAsia" w:ascii="宋体" w:hAnsi="宋体"/>
          <w:szCs w:val="21"/>
        </w:rPr>
        <w:t>监理人批复承包人提供文件的期限：收到施工组织设计和进度计划后五个工作日内审查确认，月进度报表及次月工程进度计划审批时间为二个工作日。</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7.2施工进度计划</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 xml:space="preserve">7.2.2承包人报送施工进度计划和施工方案的期限：承包人在图纸交底会审后五日内报送。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7.2.3监理人批复施工进度计划和施工方案的期限：收到施工进度计划和施工方案后五个工作日内完成批复。</w:t>
      </w:r>
    </w:p>
    <w:p>
      <w:pPr>
        <w:widowControl/>
        <w:spacing w:line="400" w:lineRule="exact"/>
        <w:ind w:firstLine="420" w:firstLineChars="200"/>
        <w:jc w:val="left"/>
        <w:rPr>
          <w:rFonts w:ascii="宋体" w:hAnsi="宋体"/>
          <w:szCs w:val="21"/>
        </w:rPr>
      </w:pPr>
      <w:r>
        <w:rPr>
          <w:rFonts w:ascii="宋体" w:hAnsi="宋体"/>
          <w:szCs w:val="21"/>
        </w:rPr>
        <w:t>7.3 开工</w:t>
      </w:r>
    </w:p>
    <w:p>
      <w:pPr>
        <w:widowControl/>
        <w:spacing w:line="400" w:lineRule="exact"/>
        <w:ind w:firstLine="420" w:firstLineChars="200"/>
        <w:jc w:val="left"/>
        <w:rPr>
          <w:rFonts w:ascii="宋体" w:hAnsi="宋体"/>
          <w:szCs w:val="21"/>
        </w:rPr>
      </w:pPr>
      <w:r>
        <w:rPr>
          <w:rFonts w:ascii="宋体" w:hAnsi="宋体"/>
          <w:szCs w:val="21"/>
        </w:rPr>
        <w:t>7.3.2开工通知</w:t>
      </w:r>
    </w:p>
    <w:bookmarkEnd w:id="431"/>
    <w:bookmarkEnd w:id="432"/>
    <w:bookmarkEnd w:id="433"/>
    <w:bookmarkEnd w:id="434"/>
    <w:bookmarkEnd w:id="435"/>
    <w:bookmarkEnd w:id="436"/>
    <w:bookmarkEnd w:id="437"/>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监理人应在开工日期</w:t>
      </w:r>
      <w:r>
        <w:rPr>
          <w:rFonts w:hint="eastAsia" w:ascii="宋体" w:hAnsi="宋体"/>
          <w:szCs w:val="21"/>
          <w:u w:val="single"/>
        </w:rPr>
        <w:t xml:space="preserve"> 7 </w:t>
      </w:r>
      <w:r>
        <w:rPr>
          <w:rFonts w:hint="eastAsia" w:ascii="宋体" w:hAnsi="宋体"/>
          <w:szCs w:val="21"/>
        </w:rPr>
        <w:t>天前向承包人发出开工通知（此开工通知必须获得发包人同意）。工期自监理人发出的开工通知中载明的开工日期起计算。承包人应在开工日期后尽快施工。</w:t>
      </w:r>
    </w:p>
    <w:p>
      <w:pPr>
        <w:widowControl/>
        <w:adjustRightInd w:val="0"/>
        <w:snapToGrid w:val="0"/>
        <w:spacing w:line="400" w:lineRule="exact"/>
        <w:ind w:firstLine="420" w:firstLineChars="200"/>
        <w:jc w:val="left"/>
        <w:rPr>
          <w:rFonts w:ascii="宋体" w:hAnsi="宋体"/>
          <w:szCs w:val="21"/>
        </w:rPr>
      </w:pPr>
      <w:r>
        <w:rPr>
          <w:rFonts w:ascii="宋体" w:hAnsi="宋体"/>
          <w:szCs w:val="21"/>
        </w:rPr>
        <w:t>7.4 测量放线</w:t>
      </w:r>
    </w:p>
    <w:p>
      <w:pPr>
        <w:widowControl/>
        <w:adjustRightInd w:val="0"/>
        <w:snapToGrid w:val="0"/>
        <w:spacing w:line="400" w:lineRule="exact"/>
        <w:ind w:firstLine="420" w:firstLineChars="200"/>
        <w:jc w:val="left"/>
        <w:rPr>
          <w:rFonts w:ascii="宋体" w:hAnsi="宋体"/>
          <w:szCs w:val="21"/>
        </w:rPr>
      </w:pPr>
      <w:r>
        <w:rPr>
          <w:rFonts w:ascii="宋体" w:hAnsi="宋体"/>
          <w:szCs w:val="21"/>
        </w:rPr>
        <w:t>7.4.1</w:t>
      </w:r>
      <w:r>
        <w:rPr>
          <w:rFonts w:hint="eastAsia" w:ascii="宋体" w:hAnsi="宋体"/>
          <w:szCs w:val="21"/>
        </w:rPr>
        <w:t xml:space="preserve"> 发包人提供测量基准点、基准线和水准点的期限：开工前五日内发包人派驻的工程师以书面形式通知承包人，并组织相关单位进行现场交验，同时作好交验记录。</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施工控制网的测设：由承包人负责。</w:t>
      </w:r>
    </w:p>
    <w:p>
      <w:pPr>
        <w:widowControl/>
        <w:tabs>
          <w:tab w:val="left" w:pos="7605"/>
        </w:tabs>
        <w:adjustRightInd w:val="0"/>
        <w:snapToGrid w:val="0"/>
        <w:spacing w:line="400" w:lineRule="exact"/>
        <w:ind w:firstLine="420" w:firstLineChars="200"/>
        <w:jc w:val="left"/>
        <w:rPr>
          <w:rFonts w:ascii="宋体" w:hAnsi="宋体"/>
          <w:szCs w:val="21"/>
        </w:rPr>
      </w:pPr>
      <w:r>
        <w:rPr>
          <w:rFonts w:hint="eastAsia" w:ascii="宋体" w:hAnsi="宋体"/>
          <w:szCs w:val="21"/>
        </w:rPr>
        <w:t>报监理人审批施工控制网资料的期限：现场交验后三日内。</w:t>
      </w:r>
    </w:p>
    <w:p>
      <w:pPr>
        <w:widowControl/>
        <w:spacing w:line="400" w:lineRule="exact"/>
        <w:ind w:firstLine="420" w:firstLineChars="200"/>
        <w:jc w:val="left"/>
        <w:rPr>
          <w:rFonts w:ascii="宋体" w:hAnsi="宋体"/>
          <w:szCs w:val="21"/>
        </w:rPr>
      </w:pPr>
      <w:r>
        <w:rPr>
          <w:rFonts w:ascii="宋体" w:hAnsi="宋体"/>
          <w:szCs w:val="21"/>
        </w:rPr>
        <w:t>7</w:t>
      </w:r>
      <w:bookmarkStart w:id="438" w:name="_Toc304295546"/>
      <w:bookmarkStart w:id="439" w:name="_Toc297123516"/>
      <w:bookmarkStart w:id="440" w:name="_Toc303539125"/>
      <w:bookmarkStart w:id="441" w:name="_Toc312677484"/>
      <w:bookmarkStart w:id="442" w:name="_Toc312678010"/>
      <w:bookmarkStart w:id="443" w:name="_Toc297216175"/>
      <w:bookmarkStart w:id="444" w:name="_Toc300934968"/>
      <w:r>
        <w:rPr>
          <w:rFonts w:ascii="宋体" w:hAnsi="宋体"/>
          <w:szCs w:val="21"/>
        </w:rPr>
        <w:t>.5 工期延误</w:t>
      </w:r>
    </w:p>
    <w:bookmarkEnd w:id="438"/>
    <w:bookmarkEnd w:id="439"/>
    <w:bookmarkEnd w:id="440"/>
    <w:bookmarkEnd w:id="441"/>
    <w:bookmarkEnd w:id="442"/>
    <w:bookmarkEnd w:id="443"/>
    <w:bookmarkEnd w:id="444"/>
    <w:p>
      <w:pPr>
        <w:widowControl/>
        <w:spacing w:line="400" w:lineRule="exact"/>
        <w:ind w:firstLine="420" w:firstLineChars="200"/>
        <w:jc w:val="left"/>
        <w:rPr>
          <w:rFonts w:ascii="宋体" w:hAnsi="宋体"/>
          <w:szCs w:val="21"/>
        </w:rPr>
      </w:pPr>
      <w:r>
        <w:rPr>
          <w:rFonts w:ascii="宋体" w:hAnsi="宋体"/>
          <w:szCs w:val="21"/>
        </w:rPr>
        <w:t>7.5.1 因发包人原因导致工期延误</w:t>
      </w:r>
      <w:r>
        <w:rPr>
          <w:rFonts w:hint="eastAsia" w:ascii="宋体" w:hAnsi="宋体"/>
          <w:szCs w:val="21"/>
        </w:rPr>
        <w:t>的处理：</w:t>
      </w:r>
      <w:r>
        <w:rPr>
          <w:rFonts w:hint="eastAsia"/>
          <w:szCs w:val="21"/>
          <w:u w:val="single"/>
        </w:rPr>
        <w:t>工期顺延</w:t>
      </w:r>
      <w:r>
        <w:rPr>
          <w:rFonts w:hint="eastAsia"/>
          <w:szCs w:val="21"/>
        </w:rPr>
        <w:t>。</w:t>
      </w:r>
    </w:p>
    <w:p>
      <w:pPr>
        <w:widowControl/>
        <w:spacing w:line="400" w:lineRule="exact"/>
        <w:ind w:firstLine="420" w:firstLineChars="200"/>
        <w:jc w:val="left"/>
        <w:rPr>
          <w:rFonts w:ascii="宋体" w:hAnsi="宋体"/>
          <w:szCs w:val="21"/>
        </w:rPr>
      </w:pPr>
      <w:r>
        <w:rPr>
          <w:rFonts w:ascii="宋体" w:hAnsi="宋体"/>
          <w:szCs w:val="21"/>
        </w:rPr>
        <w:t>7</w:t>
      </w:r>
      <w:bookmarkStart w:id="445" w:name="_Toc318581169"/>
      <w:bookmarkStart w:id="446" w:name="_Toc312678012"/>
      <w:bookmarkStart w:id="447" w:name="_Toc312677486"/>
      <w:bookmarkStart w:id="448" w:name="_Toc297216177"/>
      <w:bookmarkStart w:id="449" w:name="_Toc303539127"/>
      <w:bookmarkStart w:id="450" w:name="_Toc297123518"/>
      <w:bookmarkStart w:id="451" w:name="_Toc304295548"/>
      <w:bookmarkStart w:id="452" w:name="_Toc300934970"/>
      <w:r>
        <w:rPr>
          <w:rFonts w:ascii="宋体" w:hAnsi="宋体"/>
          <w:szCs w:val="21"/>
        </w:rPr>
        <w:t>.5.2 因承包人原因导致工期延误</w:t>
      </w:r>
      <w:r>
        <w:rPr>
          <w:rFonts w:hint="eastAsia" w:ascii="宋体" w:hAnsi="宋体"/>
          <w:szCs w:val="21"/>
        </w:rPr>
        <w:t>：</w:t>
      </w:r>
      <w:bookmarkEnd w:id="445"/>
      <w:bookmarkEnd w:id="446"/>
      <w:bookmarkEnd w:id="447"/>
      <w:r>
        <w:rPr>
          <w:rFonts w:ascii="宋体" w:hAnsi="宋体"/>
          <w:szCs w:val="21"/>
          <w:u w:val="single"/>
        </w:rPr>
        <w:t>因</w:t>
      </w:r>
      <w:bookmarkStart w:id="453" w:name="_Toc312677487"/>
      <w:bookmarkStart w:id="454" w:name="_Toc312678013"/>
      <w:bookmarkStart w:id="455" w:name="_Toc318581170"/>
      <w:r>
        <w:rPr>
          <w:rFonts w:ascii="宋体" w:hAnsi="宋体"/>
          <w:szCs w:val="21"/>
          <w:u w:val="single"/>
        </w:rPr>
        <w:t>承包人原因造成工期延误，</w:t>
      </w:r>
      <w:r>
        <w:rPr>
          <w:rFonts w:hint="eastAsia" w:ascii="宋体" w:hAnsi="宋体"/>
          <w:szCs w:val="21"/>
          <w:u w:val="single"/>
        </w:rPr>
        <w:t>不顺延工期，其工期延误的违约责任见专用条款第16条的规定</w:t>
      </w:r>
      <w:r>
        <w:rPr>
          <w:rFonts w:hint="eastAsia" w:ascii="宋体" w:hAnsi="宋体"/>
          <w:szCs w:val="21"/>
        </w:rPr>
        <w:t>。</w:t>
      </w:r>
      <w:bookmarkEnd w:id="448"/>
      <w:bookmarkEnd w:id="449"/>
      <w:bookmarkEnd w:id="450"/>
      <w:bookmarkEnd w:id="451"/>
      <w:bookmarkEnd w:id="452"/>
      <w:bookmarkEnd w:id="453"/>
      <w:bookmarkEnd w:id="454"/>
    </w:p>
    <w:bookmarkEnd w:id="455"/>
    <w:p>
      <w:pPr>
        <w:widowControl/>
        <w:spacing w:line="400" w:lineRule="exact"/>
        <w:ind w:firstLine="420" w:firstLineChars="200"/>
        <w:jc w:val="left"/>
        <w:rPr>
          <w:rFonts w:ascii="宋体" w:hAnsi="宋体"/>
          <w:szCs w:val="21"/>
        </w:rPr>
      </w:pPr>
      <w:r>
        <w:rPr>
          <w:rFonts w:ascii="宋体" w:hAnsi="宋体"/>
          <w:szCs w:val="21"/>
        </w:rPr>
        <w:t>7</w:t>
      </w:r>
      <w:bookmarkStart w:id="456" w:name="_Toc312678017"/>
      <w:bookmarkStart w:id="457" w:name="_Toc297216180"/>
      <w:bookmarkStart w:id="458" w:name="_Toc304295551"/>
      <w:bookmarkStart w:id="459" w:name="_Toc300934973"/>
      <w:bookmarkStart w:id="460" w:name="_Toc303539130"/>
      <w:bookmarkStart w:id="461" w:name="_Toc297123521"/>
      <w:r>
        <w:rPr>
          <w:rFonts w:ascii="宋体" w:hAnsi="宋体"/>
          <w:szCs w:val="21"/>
        </w:rPr>
        <w:t>.7异常恶劣的气候条件</w:t>
      </w:r>
    </w:p>
    <w:bookmarkEnd w:id="456"/>
    <w:bookmarkEnd w:id="457"/>
    <w:bookmarkEnd w:id="458"/>
    <w:bookmarkEnd w:id="459"/>
    <w:bookmarkEnd w:id="460"/>
    <w:bookmarkEnd w:id="461"/>
    <w:p>
      <w:pPr>
        <w:widowControl/>
        <w:spacing w:line="400" w:lineRule="exact"/>
        <w:ind w:firstLine="420" w:firstLineChars="200"/>
        <w:jc w:val="left"/>
        <w:rPr>
          <w:rFonts w:ascii="宋体" w:hAnsi="宋体"/>
          <w:szCs w:val="21"/>
        </w:rPr>
      </w:pPr>
      <w:r>
        <w:rPr>
          <w:rFonts w:ascii="宋体" w:hAnsi="宋体"/>
          <w:szCs w:val="21"/>
        </w:rPr>
        <w:t>发包人和承包人同意以下情形视为异常恶劣的气候条件：</w:t>
      </w:r>
      <w:r>
        <w:rPr>
          <w:rFonts w:hint="eastAsia" w:ascii="宋体" w:hAnsi="宋体"/>
          <w:szCs w:val="21"/>
        </w:rPr>
        <w:t xml:space="preserve">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pPr>
        <w:widowControl/>
        <w:spacing w:line="400" w:lineRule="exact"/>
        <w:ind w:firstLine="420" w:firstLineChars="200"/>
        <w:jc w:val="left"/>
        <w:rPr>
          <w:rFonts w:ascii="宋体" w:hAnsi="宋体"/>
          <w:szCs w:val="21"/>
        </w:rPr>
      </w:pPr>
      <w:r>
        <w:rPr>
          <w:rFonts w:ascii="宋体" w:hAnsi="宋体"/>
          <w:szCs w:val="21"/>
        </w:rPr>
        <w:t>7.9 提前竣工的奖励</w:t>
      </w:r>
    </w:p>
    <w:p>
      <w:pPr>
        <w:widowControl/>
        <w:spacing w:line="400" w:lineRule="exact"/>
        <w:ind w:firstLine="420" w:firstLineChars="200"/>
        <w:jc w:val="left"/>
        <w:rPr>
          <w:rFonts w:ascii="宋体" w:hAnsi="宋体"/>
          <w:szCs w:val="21"/>
        </w:rPr>
      </w:pPr>
      <w:r>
        <w:rPr>
          <w:rFonts w:ascii="宋体" w:hAnsi="宋体"/>
          <w:szCs w:val="21"/>
        </w:rPr>
        <w:t>7.9.2提前竣工的奖励：</w:t>
      </w:r>
      <w:r>
        <w:rPr>
          <w:rFonts w:hint="eastAsia" w:ascii="宋体" w:hAnsi="宋体"/>
          <w:szCs w:val="21"/>
          <w:u w:val="single"/>
        </w:rPr>
        <w:t>不采用</w:t>
      </w:r>
      <w:r>
        <w:rPr>
          <w:rFonts w:ascii="宋体" w:hAnsi="宋体"/>
          <w:szCs w:val="21"/>
        </w:rPr>
        <w:t>。</w:t>
      </w:r>
    </w:p>
    <w:p>
      <w:pPr>
        <w:widowControl/>
        <w:autoSpaceDE w:val="0"/>
        <w:autoSpaceDN w:val="0"/>
        <w:adjustRightInd w:val="0"/>
        <w:spacing w:line="400" w:lineRule="exact"/>
        <w:ind w:firstLine="422" w:firstLineChars="200"/>
        <w:outlineLvl w:val="3"/>
        <w:rPr>
          <w:rFonts w:ascii="宋体" w:hAnsi="宋体"/>
          <w:b/>
          <w:szCs w:val="21"/>
        </w:rPr>
      </w:pPr>
      <w:bookmarkStart w:id="462" w:name="_Toc351203640"/>
      <w:r>
        <w:rPr>
          <w:rFonts w:ascii="宋体" w:hAnsi="宋体"/>
          <w:b/>
          <w:szCs w:val="21"/>
        </w:rPr>
        <w:t>8. 材料与设备</w:t>
      </w:r>
      <w:bookmarkEnd w:id="462"/>
    </w:p>
    <w:bookmarkEnd w:id="409"/>
    <w:bookmarkEnd w:id="410"/>
    <w:bookmarkEnd w:id="411"/>
    <w:bookmarkEnd w:id="412"/>
    <w:bookmarkEnd w:id="413"/>
    <w:bookmarkEnd w:id="414"/>
    <w:bookmarkEnd w:id="415"/>
    <w:bookmarkEnd w:id="416"/>
    <w:bookmarkEnd w:id="417"/>
    <w:bookmarkEnd w:id="418"/>
    <w:p>
      <w:pPr>
        <w:widowControl/>
        <w:adjustRightInd w:val="0"/>
        <w:snapToGrid w:val="0"/>
        <w:spacing w:line="400" w:lineRule="exact"/>
        <w:ind w:firstLine="420" w:firstLineChars="200"/>
        <w:jc w:val="left"/>
        <w:rPr>
          <w:rFonts w:ascii="宋体" w:hAnsi="宋体"/>
          <w:szCs w:val="21"/>
        </w:rPr>
      </w:pPr>
      <w:bookmarkStart w:id="463" w:name="_Toc315872973"/>
      <w:bookmarkStart w:id="464" w:name="_Toc9419"/>
      <w:bookmarkStart w:id="465" w:name="_Toc294743608"/>
      <w:bookmarkStart w:id="466" w:name="_Toc304295557"/>
      <w:bookmarkStart w:id="467" w:name="_Toc303539137"/>
      <w:bookmarkStart w:id="468" w:name="_Toc297120468"/>
      <w:bookmarkStart w:id="469" w:name="_Toc297216187"/>
      <w:bookmarkStart w:id="470" w:name="_Toc300934980"/>
      <w:bookmarkStart w:id="471" w:name="_Toc296890996"/>
      <w:bookmarkStart w:id="472" w:name="_Toc296944507"/>
      <w:bookmarkStart w:id="473" w:name="_Toc297048354"/>
      <w:bookmarkStart w:id="474" w:name="_Toc296503168"/>
      <w:bookmarkStart w:id="475" w:name="_Toc296346669"/>
      <w:bookmarkStart w:id="476" w:name="_Toc296891208"/>
      <w:bookmarkStart w:id="477" w:name="_Toc296347167"/>
      <w:bookmarkStart w:id="478" w:name="_Toc312677494"/>
      <w:bookmarkStart w:id="479" w:name="_Toc318581173"/>
      <w:bookmarkStart w:id="480" w:name="_Toc312678020"/>
      <w:bookmarkStart w:id="481" w:name="_Toc297123528"/>
      <w:bookmarkStart w:id="482" w:name="_Toc280868655"/>
      <w:bookmarkStart w:id="483" w:name="_Toc267251424"/>
      <w:bookmarkStart w:id="484" w:name="_Toc280868656"/>
      <w:r>
        <w:rPr>
          <w:rFonts w:hint="eastAsia" w:ascii="宋体" w:hAnsi="宋体"/>
          <w:szCs w:val="21"/>
        </w:rPr>
        <w:t>8.1  发包人提供的材料和工程设备</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8.1.1 材料的名称、规格、数量和价格：</w:t>
      </w:r>
      <w:r>
        <w:rPr>
          <w:rFonts w:hint="eastAsia" w:ascii="宋体" w:hAnsi="宋体"/>
          <w:szCs w:val="21"/>
          <w:u w:val="single"/>
        </w:rPr>
        <w:t xml:space="preserve">   无   </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材料的交货方式、地点和日期：</w:t>
      </w:r>
      <w:r>
        <w:rPr>
          <w:rFonts w:hint="eastAsia" w:ascii="宋体" w:hAnsi="宋体"/>
          <w:szCs w:val="21"/>
          <w:u w:val="single"/>
        </w:rPr>
        <w:t xml:space="preserve">   无   </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工程设备的名称、规格、数量和价格：</w:t>
      </w:r>
      <w:r>
        <w:rPr>
          <w:rFonts w:hint="eastAsia" w:ascii="宋体" w:hAnsi="宋体"/>
          <w:szCs w:val="21"/>
          <w:u w:val="single"/>
        </w:rPr>
        <w:t xml:space="preserve">   无   </w:t>
      </w:r>
      <w:r>
        <w:rPr>
          <w:rFonts w:hint="eastAsia" w:ascii="宋体" w:hAnsi="宋体"/>
          <w:szCs w:val="21"/>
        </w:rPr>
        <w:t xml:space="preserve">。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工程设备的交货方式、地点和日期：</w:t>
      </w:r>
      <w:r>
        <w:rPr>
          <w:rFonts w:hint="eastAsia" w:ascii="宋体" w:hAnsi="宋体"/>
          <w:szCs w:val="21"/>
          <w:u w:val="single"/>
        </w:rPr>
        <w:t xml:space="preserve">   无   </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8.1.3 材料和工程设备的接收、运输与保管：</w:t>
      </w:r>
      <w:r>
        <w:rPr>
          <w:rFonts w:hint="eastAsia" w:ascii="宋体" w:hAnsi="宋体"/>
          <w:szCs w:val="21"/>
          <w:u w:val="single"/>
        </w:rPr>
        <w:t xml:space="preserve">   无   </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8.2承包人提供的材料和工程设备</w:t>
      </w:r>
      <w:bookmarkEnd w:id="463"/>
      <w:bookmarkEnd w:id="464"/>
      <w:bookmarkEnd w:id="465"/>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8.2.2本工程材料、设备由承包人自行组织供应至施工现场，运输、上下车及保管均由承包人负责并</w:t>
      </w:r>
      <w:r>
        <w:rPr>
          <w:rFonts w:ascii="宋体" w:hAnsi="宋体"/>
          <w:szCs w:val="21"/>
        </w:rPr>
        <w:t>承担费用</w:t>
      </w:r>
      <w:r>
        <w:rPr>
          <w:rFonts w:hint="eastAsia" w:ascii="宋体" w:hAnsi="宋体"/>
          <w:szCs w:val="21"/>
        </w:rPr>
        <w:t xml:space="preserve">。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承包人采购的材料在使用前，承包人应</w:t>
      </w:r>
      <w:r>
        <w:rPr>
          <w:rFonts w:ascii="宋体" w:hAnsi="宋体"/>
          <w:szCs w:val="21"/>
        </w:rPr>
        <w:t>提供出厂合格证明，并</w:t>
      </w:r>
      <w:r>
        <w:rPr>
          <w:rFonts w:hint="eastAsia" w:ascii="宋体" w:hAnsi="宋体"/>
          <w:szCs w:val="21"/>
        </w:rPr>
        <w:t>配合发包人</w:t>
      </w:r>
      <w:r>
        <w:rPr>
          <w:rFonts w:ascii="宋体" w:hAnsi="宋体"/>
          <w:szCs w:val="21"/>
        </w:rPr>
        <w:t>、</w:t>
      </w:r>
      <w:r>
        <w:rPr>
          <w:rFonts w:hint="eastAsia" w:ascii="宋体" w:hAnsi="宋体"/>
          <w:szCs w:val="21"/>
        </w:rPr>
        <w:t>监理工程师对材料进行检验或试验，不合格的不得使用，检验</w:t>
      </w:r>
      <w:r>
        <w:rPr>
          <w:rFonts w:ascii="宋体" w:hAnsi="宋体"/>
          <w:szCs w:val="21"/>
        </w:rPr>
        <w:t>费用由发包人承担</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8.2.4发包人保留部分材料甲供的权利，若由甲供材料，发包人在材料进场时间前20天以书面形式通知承包人，甲供材料收货及保管由承包人负责。</w:t>
      </w:r>
    </w:p>
    <w:p>
      <w:pPr>
        <w:widowControl/>
        <w:spacing w:line="400" w:lineRule="exact"/>
        <w:ind w:firstLine="420" w:firstLineChars="200"/>
        <w:jc w:val="left"/>
        <w:rPr>
          <w:rFonts w:ascii="宋体" w:hAnsi="宋体"/>
          <w:szCs w:val="21"/>
        </w:rPr>
      </w:pPr>
      <w:r>
        <w:rPr>
          <w:rFonts w:ascii="宋体" w:hAnsi="宋体"/>
          <w:szCs w:val="21"/>
        </w:rPr>
        <w:t>8.8 施工设备和临时设施</w:t>
      </w:r>
    </w:p>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Pr>
        <w:widowControl/>
        <w:adjustRightInd w:val="0"/>
        <w:snapToGrid w:val="0"/>
        <w:spacing w:line="400" w:lineRule="exact"/>
        <w:ind w:firstLine="420" w:firstLineChars="200"/>
        <w:jc w:val="left"/>
        <w:rPr>
          <w:rFonts w:ascii="宋体" w:hAnsi="宋体"/>
          <w:szCs w:val="21"/>
        </w:rPr>
      </w:pPr>
      <w:bookmarkStart w:id="485" w:name="_Toc351203641"/>
      <w:r>
        <w:rPr>
          <w:rFonts w:hint="eastAsia" w:ascii="宋体" w:hAnsi="宋体"/>
          <w:szCs w:val="21"/>
        </w:rPr>
        <w:t xml:space="preserve">8.8.1 修建临时设施及费用承担：工程所需的临时设施均由承包人自行修建，并承担费用。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临时占地的申请：承包人（经发包人同意）临时占用红线内、外场地，由承包人申请办理相关手续 ，并承担相应的费用。</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临时设施涉及的相关费用：承包人承担临时设施涉及的相关费用（包括临时设施占地费用）。</w:t>
      </w:r>
    </w:p>
    <w:p>
      <w:pPr>
        <w:widowControl/>
        <w:adjustRightInd w:val="0"/>
        <w:snapToGrid w:val="0"/>
        <w:spacing w:line="400" w:lineRule="exact"/>
        <w:ind w:firstLine="420" w:firstLineChars="200"/>
        <w:jc w:val="left"/>
        <w:rPr>
          <w:rFonts w:ascii="宋体" w:hAnsi="宋体"/>
          <w:b/>
          <w:szCs w:val="21"/>
        </w:rPr>
      </w:pPr>
      <w:r>
        <w:rPr>
          <w:rFonts w:hint="eastAsia" w:ascii="宋体" w:hAnsi="宋体"/>
          <w:szCs w:val="21"/>
        </w:rPr>
        <w:t>8.8.2发包人提供的施工设备和临时设施：无。</w:t>
      </w:r>
    </w:p>
    <w:p>
      <w:pPr>
        <w:widowControl/>
        <w:autoSpaceDE w:val="0"/>
        <w:autoSpaceDN w:val="0"/>
        <w:adjustRightInd w:val="0"/>
        <w:spacing w:line="400" w:lineRule="exact"/>
        <w:outlineLvl w:val="3"/>
        <w:rPr>
          <w:rFonts w:ascii="宋体" w:hAnsi="宋体"/>
          <w:b/>
          <w:szCs w:val="21"/>
        </w:rPr>
      </w:pPr>
      <w:r>
        <w:rPr>
          <w:rFonts w:ascii="宋体" w:hAnsi="宋体"/>
          <w:b/>
          <w:szCs w:val="21"/>
        </w:rPr>
        <w:t>9</w:t>
      </w:r>
      <w:bookmarkEnd w:id="482"/>
      <w:bookmarkEnd w:id="483"/>
      <w:bookmarkEnd w:id="484"/>
      <w:bookmarkStart w:id="486" w:name="_Toc297123533"/>
      <w:bookmarkStart w:id="487" w:name="_Toc297216192"/>
      <w:bookmarkStart w:id="488" w:name="_Toc300934982"/>
      <w:bookmarkStart w:id="489" w:name="_Toc303539139"/>
      <w:bookmarkStart w:id="490" w:name="_Toc304295559"/>
      <w:bookmarkStart w:id="491" w:name="_Toc312677495"/>
      <w:bookmarkStart w:id="492" w:name="_Toc312678021"/>
      <w:bookmarkStart w:id="493" w:name="_Toc267251428"/>
      <w:bookmarkStart w:id="494" w:name="_Toc297048359"/>
      <w:bookmarkStart w:id="495" w:name="_Toc297120473"/>
      <w:bookmarkStart w:id="496" w:name="_Toc296347172"/>
      <w:bookmarkStart w:id="497" w:name="_Toc296891001"/>
      <w:bookmarkStart w:id="498" w:name="_Toc292559378"/>
      <w:bookmarkStart w:id="499" w:name="_Toc296891213"/>
      <w:bookmarkStart w:id="500" w:name="_Toc296944512"/>
      <w:bookmarkStart w:id="501" w:name="_Toc296503173"/>
      <w:bookmarkStart w:id="502" w:name="_Toc292559883"/>
      <w:bookmarkStart w:id="503" w:name="_Toc267251427"/>
      <w:bookmarkStart w:id="504" w:name="_Toc296346674"/>
      <w:r>
        <w:rPr>
          <w:rFonts w:ascii="宋体" w:hAnsi="宋体"/>
          <w:b/>
          <w:szCs w:val="21"/>
        </w:rPr>
        <w:t>. 试验与检验</w:t>
      </w:r>
      <w:bookmarkEnd w:id="485"/>
    </w:p>
    <w:bookmarkEnd w:id="486"/>
    <w:bookmarkEnd w:id="487"/>
    <w:bookmarkEnd w:id="488"/>
    <w:bookmarkEnd w:id="489"/>
    <w:bookmarkEnd w:id="490"/>
    <w:bookmarkEnd w:id="491"/>
    <w:bookmarkEnd w:id="492"/>
    <w:p>
      <w:pPr>
        <w:widowControl/>
        <w:spacing w:line="400" w:lineRule="exact"/>
        <w:ind w:firstLine="420" w:firstLineChars="200"/>
        <w:jc w:val="left"/>
        <w:rPr>
          <w:rFonts w:ascii="宋体" w:hAnsi="宋体"/>
          <w:szCs w:val="21"/>
        </w:rPr>
      </w:pPr>
      <w:bookmarkStart w:id="505" w:name="_Toc351203642"/>
      <w:r>
        <w:rPr>
          <w:rFonts w:hint="eastAsia" w:ascii="宋体" w:hAnsi="宋体"/>
          <w:szCs w:val="21"/>
        </w:rPr>
        <w:t>9.2发包人委托抽检的，由发包人或者发包人委托的检测机构抽样。</w:t>
      </w:r>
    </w:p>
    <w:p>
      <w:pPr>
        <w:widowControl/>
        <w:spacing w:line="400" w:lineRule="exact"/>
        <w:ind w:firstLine="420" w:firstLineChars="200"/>
        <w:jc w:val="left"/>
        <w:rPr>
          <w:rFonts w:ascii="宋体" w:hAnsi="宋体"/>
          <w:szCs w:val="21"/>
        </w:rPr>
      </w:pPr>
      <w:r>
        <w:rPr>
          <w:rFonts w:hint="eastAsia" w:ascii="宋体" w:hAnsi="宋体"/>
          <w:szCs w:val="21"/>
        </w:rPr>
        <w:t>9.3发包人和承包人对对方（监理人）的检测结果有异议，可要求重新试验和检测，异议不成立的，由此增加的费用和延误工期的责任由提出异议的一方承担，反之由对方承担。</w:t>
      </w:r>
    </w:p>
    <w:p>
      <w:pPr>
        <w:widowControl/>
        <w:adjustRightInd w:val="0"/>
        <w:snapToGrid w:val="0"/>
        <w:spacing w:line="400" w:lineRule="exact"/>
        <w:ind w:firstLine="422" w:firstLineChars="200"/>
        <w:jc w:val="left"/>
        <w:rPr>
          <w:rFonts w:ascii="宋体" w:hAnsi="宋体"/>
          <w:b/>
          <w:szCs w:val="21"/>
        </w:rPr>
      </w:pPr>
      <w:r>
        <w:rPr>
          <w:rFonts w:ascii="宋体" w:hAnsi="宋体"/>
          <w:b/>
          <w:szCs w:val="21"/>
        </w:rPr>
        <w:t>1</w:t>
      </w:r>
      <w:bookmarkEnd w:id="493"/>
      <w:bookmarkEnd w:id="494"/>
      <w:bookmarkEnd w:id="495"/>
      <w:bookmarkEnd w:id="496"/>
      <w:bookmarkEnd w:id="497"/>
      <w:bookmarkEnd w:id="498"/>
      <w:bookmarkEnd w:id="499"/>
      <w:bookmarkEnd w:id="500"/>
      <w:bookmarkEnd w:id="501"/>
      <w:bookmarkEnd w:id="502"/>
      <w:bookmarkEnd w:id="503"/>
      <w:bookmarkEnd w:id="504"/>
      <w:bookmarkStart w:id="506" w:name="_Toc292559398"/>
      <w:bookmarkStart w:id="507" w:name="_Toc292559903"/>
      <w:bookmarkStart w:id="508" w:name="_Toc296346694"/>
      <w:bookmarkStart w:id="509" w:name="_Toc296347192"/>
      <w:bookmarkStart w:id="510" w:name="_Toc296503193"/>
      <w:bookmarkStart w:id="511" w:name="_Toc296891021"/>
      <w:bookmarkStart w:id="512" w:name="_Toc296891233"/>
      <w:bookmarkStart w:id="513" w:name="_Toc296944532"/>
      <w:bookmarkStart w:id="514" w:name="_Toc297048379"/>
      <w:bookmarkStart w:id="515" w:name="_Toc297120493"/>
      <w:bookmarkStart w:id="516" w:name="_Toc297123540"/>
      <w:bookmarkStart w:id="517" w:name="_Toc297216199"/>
      <w:bookmarkStart w:id="518" w:name="_Toc300934989"/>
      <w:bookmarkStart w:id="519" w:name="_Toc303539146"/>
      <w:bookmarkStart w:id="520" w:name="_Toc304295566"/>
      <w:bookmarkStart w:id="521" w:name="_Toc312677499"/>
      <w:bookmarkStart w:id="522" w:name="_Toc312678025"/>
      <w:bookmarkStart w:id="523" w:name="_Toc267251439"/>
      <w:bookmarkStart w:id="524" w:name="_Toc267251437"/>
      <w:bookmarkStart w:id="525" w:name="_Toc267251435"/>
      <w:bookmarkStart w:id="526" w:name="_Toc267251433"/>
      <w:bookmarkStart w:id="527" w:name="_Toc267251441"/>
      <w:bookmarkStart w:id="528" w:name="_Toc267251440"/>
      <w:bookmarkStart w:id="529" w:name="_Toc267251442"/>
      <w:r>
        <w:rPr>
          <w:rFonts w:ascii="宋体" w:hAnsi="宋体"/>
          <w:b/>
          <w:szCs w:val="21"/>
        </w:rPr>
        <w:t>0. 变更</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bookmarkEnd w:id="521"/>
    <w:bookmarkEnd w:id="522"/>
    <w:p>
      <w:pPr>
        <w:widowControl/>
        <w:spacing w:line="400" w:lineRule="exact"/>
        <w:ind w:firstLine="420" w:firstLineChars="200"/>
        <w:jc w:val="left"/>
        <w:rPr>
          <w:rFonts w:ascii="宋体" w:hAnsi="宋体"/>
          <w:szCs w:val="21"/>
        </w:rPr>
      </w:pPr>
      <w:r>
        <w:rPr>
          <w:rFonts w:ascii="宋体" w:hAnsi="宋体"/>
          <w:szCs w:val="21"/>
        </w:rPr>
        <w:t>1</w:t>
      </w:r>
      <w:bookmarkStart w:id="530" w:name="_Toc304295567"/>
      <w:bookmarkStart w:id="531" w:name="_Toc297120494"/>
      <w:bookmarkStart w:id="532" w:name="_Toc297216200"/>
      <w:bookmarkStart w:id="533" w:name="_Toc300934990"/>
      <w:bookmarkStart w:id="534" w:name="_Toc292559399"/>
      <w:bookmarkStart w:id="535" w:name="_Toc296891234"/>
      <w:bookmarkStart w:id="536" w:name="_Toc312677500"/>
      <w:bookmarkStart w:id="537" w:name="_Toc296503194"/>
      <w:bookmarkStart w:id="538" w:name="_Toc292559904"/>
      <w:bookmarkStart w:id="539" w:name="_Toc297123541"/>
      <w:bookmarkStart w:id="540" w:name="_Toc296346695"/>
      <w:bookmarkStart w:id="541" w:name="_Toc303539147"/>
      <w:bookmarkStart w:id="542" w:name="_Toc296347193"/>
      <w:bookmarkStart w:id="543" w:name="_Toc297048380"/>
      <w:bookmarkStart w:id="544" w:name="_Toc296891022"/>
      <w:bookmarkStart w:id="545" w:name="_Toc312678026"/>
      <w:bookmarkStart w:id="546" w:name="_Toc296944533"/>
      <w:r>
        <w:rPr>
          <w:rFonts w:ascii="宋体" w:hAnsi="宋体"/>
          <w:szCs w:val="21"/>
        </w:rPr>
        <w:t>0.1变更的范围</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（1）清单中存在错、漏、缺或不完善；</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（2）由于规划调整引起的设计、</w:t>
      </w:r>
      <w:r>
        <w:rPr>
          <w:rFonts w:ascii="宋体" w:hAnsi="宋体"/>
          <w:szCs w:val="21"/>
        </w:rPr>
        <w:t>施工</w:t>
      </w:r>
      <w:r>
        <w:rPr>
          <w:rFonts w:hint="eastAsia" w:ascii="宋体" w:hAnsi="宋体"/>
          <w:szCs w:val="21"/>
        </w:rPr>
        <w:t>方案的调整；</w:t>
      </w:r>
    </w:p>
    <w:p>
      <w:pPr>
        <w:widowControl/>
        <w:autoSpaceDE w:val="0"/>
        <w:autoSpaceDN w:val="0"/>
        <w:adjustRightInd w:val="0"/>
        <w:spacing w:before="16"/>
        <w:jc w:val="left"/>
        <w:outlineLvl w:val="2"/>
        <w:rPr>
          <w:rFonts w:ascii="宋体" w:hAnsi="宋体"/>
          <w:szCs w:val="21"/>
        </w:rPr>
      </w:pPr>
      <w:r>
        <w:rPr>
          <w:rFonts w:hint="eastAsia" w:ascii="宋体" w:hAnsi="宋体"/>
          <w:szCs w:val="21"/>
        </w:rPr>
        <w:t>（3）设计</w:t>
      </w:r>
      <w:r>
        <w:rPr>
          <w:rFonts w:ascii="宋体" w:hAnsi="宋体"/>
          <w:szCs w:val="21"/>
        </w:rPr>
        <w:t>文件存在错、漏、缺或不完善；</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）通过优化</w:t>
      </w:r>
      <w:r>
        <w:rPr>
          <w:rFonts w:ascii="宋体" w:hAnsi="宋体"/>
          <w:szCs w:val="21"/>
        </w:rPr>
        <w:t>方案或应用先进的技术能节省投资、缩短工期；</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）施工现场</w:t>
      </w:r>
      <w:r>
        <w:rPr>
          <w:rFonts w:ascii="宋体" w:hAnsi="宋体"/>
          <w:szCs w:val="21"/>
        </w:rPr>
        <w:t>因地质、水</w:t>
      </w:r>
      <w:r>
        <w:rPr>
          <w:rFonts w:hint="eastAsia" w:ascii="宋体" w:hAnsi="宋体"/>
          <w:szCs w:val="21"/>
        </w:rPr>
        <w:t>文</w:t>
      </w:r>
      <w:r>
        <w:rPr>
          <w:rFonts w:ascii="宋体" w:hAnsi="宋体"/>
          <w:szCs w:val="21"/>
        </w:rPr>
        <w:t>、地形等自然条件与设计图不符，按</w:t>
      </w:r>
      <w:r>
        <w:rPr>
          <w:rFonts w:hint="eastAsia" w:ascii="宋体" w:hAnsi="宋体"/>
          <w:szCs w:val="21"/>
        </w:rPr>
        <w:t>原</w:t>
      </w:r>
      <w:r>
        <w:rPr>
          <w:rFonts w:ascii="宋体" w:hAnsi="宋体"/>
          <w:szCs w:val="21"/>
        </w:rPr>
        <w:t>设计难以实施</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）国家颁布新的技术标准和设计规范以及行政主管部门对工程建设提出了新的技术要求；</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）因建设</w:t>
      </w:r>
      <w:r>
        <w:rPr>
          <w:rFonts w:ascii="宋体" w:hAnsi="宋体"/>
          <w:szCs w:val="21"/>
        </w:rPr>
        <w:t>单位要求，对施工范围及内容的变更</w:t>
      </w:r>
      <w:r>
        <w:rPr>
          <w:rFonts w:hint="eastAsia" w:ascii="宋体" w:hAnsi="宋体"/>
          <w:szCs w:val="21"/>
        </w:rPr>
        <w:t xml:space="preserve">；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）因促成</w:t>
      </w:r>
      <w:r>
        <w:rPr>
          <w:rFonts w:ascii="宋体" w:hAnsi="宋体"/>
          <w:szCs w:val="21"/>
        </w:rPr>
        <w:t>企业落地或满足已落地企业需求的变更</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）因地质</w:t>
      </w:r>
      <w:r>
        <w:rPr>
          <w:rFonts w:ascii="宋体" w:hAnsi="宋体"/>
          <w:szCs w:val="21"/>
        </w:rPr>
        <w:t>勘查、设计错误、规划调整、征地拆迁等非施工方原因导致施工工期发生变更的变更</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）经审查</w:t>
      </w:r>
      <w:r>
        <w:rPr>
          <w:rFonts w:ascii="宋体" w:hAnsi="宋体"/>
          <w:szCs w:val="21"/>
        </w:rPr>
        <w:t>批准必须变更的其他情形</w:t>
      </w:r>
      <w:r>
        <w:rPr>
          <w:rFonts w:hint="eastAsia" w:ascii="宋体" w:hAnsi="宋体"/>
          <w:szCs w:val="21"/>
        </w:rPr>
        <w:t>。</w:t>
      </w:r>
    </w:p>
    <w:p>
      <w:pPr>
        <w:widowControl/>
        <w:adjustRightInd w:val="0"/>
        <w:snapToGrid w:val="0"/>
        <w:spacing w:line="400" w:lineRule="exact"/>
        <w:ind w:firstLine="420" w:firstLineChars="200"/>
        <w:jc w:val="left"/>
        <w:rPr>
          <w:rFonts w:ascii="宋体" w:hAnsi="宋体"/>
          <w:b/>
          <w:szCs w:val="21"/>
        </w:rPr>
      </w:pPr>
      <w:r>
        <w:rPr>
          <w:rFonts w:ascii="宋体" w:hAnsi="宋体"/>
          <w:szCs w:val="21"/>
        </w:rPr>
        <w:t>10.</w:t>
      </w:r>
      <w:r>
        <w:rPr>
          <w:rFonts w:hint="eastAsia" w:ascii="宋体" w:hAnsi="宋体"/>
          <w:szCs w:val="21"/>
        </w:rPr>
        <w:t>3变更程序</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按照《重庆两江新区水土高新技术产业园建设投资有限公司建设工程变更管理实施细则》执行。</w:t>
      </w:r>
    </w:p>
    <w:p>
      <w:pPr>
        <w:widowControl/>
        <w:spacing w:line="400" w:lineRule="exact"/>
        <w:ind w:firstLine="420" w:firstLineChars="200"/>
        <w:jc w:val="left"/>
        <w:rPr>
          <w:rFonts w:ascii="宋体" w:hAnsi="宋体"/>
          <w:szCs w:val="21"/>
        </w:rPr>
      </w:pPr>
      <w:r>
        <w:rPr>
          <w:rFonts w:ascii="宋体" w:hAnsi="宋体"/>
          <w:szCs w:val="21"/>
        </w:rPr>
        <w:t>10.4 变更估价</w:t>
      </w:r>
    </w:p>
    <w:p>
      <w:pPr>
        <w:widowControl/>
        <w:spacing w:line="400" w:lineRule="exact"/>
        <w:ind w:firstLine="420" w:firstLineChars="200"/>
        <w:jc w:val="left"/>
        <w:rPr>
          <w:rFonts w:ascii="宋体" w:hAnsi="宋体"/>
          <w:szCs w:val="21"/>
        </w:rPr>
      </w:pPr>
      <w:r>
        <w:rPr>
          <w:rFonts w:hint="eastAsia" w:ascii="宋体" w:hAnsi="宋体"/>
          <w:szCs w:val="21"/>
        </w:rPr>
        <w:t>10.4.1 变更估价原则</w:t>
      </w:r>
    </w:p>
    <w:p>
      <w:pPr>
        <w:widowControl/>
        <w:spacing w:line="400" w:lineRule="exact"/>
        <w:ind w:firstLine="420" w:firstLineChars="200"/>
        <w:jc w:val="left"/>
        <w:rPr>
          <w:rFonts w:ascii="宋体" w:hAnsi="宋体" w:cs="宋体"/>
          <w:szCs w:val="21"/>
        </w:rPr>
      </w:pPr>
      <w:r>
        <w:rPr>
          <w:rFonts w:hint="eastAsia" w:ascii="宋体" w:hAnsi="宋体" w:cs="宋体"/>
          <w:szCs w:val="21"/>
        </w:rPr>
        <w:t>10.4.</w:t>
      </w:r>
      <w:r>
        <w:rPr>
          <w:rFonts w:ascii="宋体" w:hAnsi="宋体" w:cs="宋体"/>
          <w:szCs w:val="21"/>
        </w:rPr>
        <w:t>1.</w:t>
      </w:r>
      <w:r>
        <w:rPr>
          <w:rFonts w:hint="eastAsia" w:ascii="宋体" w:hAnsi="宋体" w:cs="宋体"/>
          <w:szCs w:val="21"/>
        </w:rPr>
        <w:t>1已标价工程量清单中有适用于变更工作的子目的，采用该子目的单价。</w:t>
      </w:r>
    </w:p>
    <w:p>
      <w:pPr>
        <w:widowControl/>
        <w:spacing w:line="400" w:lineRule="exact"/>
        <w:ind w:firstLine="420" w:firstLineChars="200"/>
        <w:jc w:val="left"/>
        <w:rPr>
          <w:rFonts w:ascii="宋体" w:hAnsi="宋体" w:cs="宋体"/>
          <w:szCs w:val="21"/>
        </w:rPr>
      </w:pPr>
      <w:r>
        <w:rPr>
          <w:rFonts w:hint="eastAsia" w:ascii="宋体" w:hAnsi="宋体" w:cs="宋体"/>
          <w:szCs w:val="21"/>
        </w:rPr>
        <w:t>10.4.</w:t>
      </w:r>
      <w:r>
        <w:rPr>
          <w:rFonts w:ascii="宋体" w:hAnsi="宋体" w:cs="宋体"/>
          <w:szCs w:val="21"/>
        </w:rPr>
        <w:t>1</w:t>
      </w:r>
      <w:r>
        <w:rPr>
          <w:rFonts w:hint="eastAsia" w:ascii="宋体" w:hAnsi="宋体" w:cs="宋体"/>
          <w:szCs w:val="21"/>
        </w:rPr>
        <w:t>.</w:t>
      </w:r>
      <w:r>
        <w:rPr>
          <w:rFonts w:ascii="宋体" w:hAnsi="宋体" w:cs="宋体"/>
          <w:szCs w:val="21"/>
        </w:rPr>
        <w:t>2.</w:t>
      </w:r>
      <w:r>
        <w:rPr>
          <w:rFonts w:hint="eastAsia" w:ascii="宋体" w:hAnsi="宋体" w:cs="宋体"/>
          <w:szCs w:val="21"/>
        </w:rPr>
        <w:t>己标价工程量清单中无适用于变更工作的子目，但有类似子目的，可在合理范围内参照类似子目的单价。</w:t>
      </w:r>
    </w:p>
    <w:p>
      <w:pPr>
        <w:widowControl/>
        <w:snapToGrid w:val="0"/>
        <w:spacing w:line="400" w:lineRule="exact"/>
        <w:ind w:firstLine="405" w:firstLineChars="192"/>
        <w:jc w:val="left"/>
        <w:rPr>
          <w:rFonts w:ascii="宋体" w:hAnsi="宋体" w:cs="宋体"/>
          <w:b/>
          <w:szCs w:val="21"/>
        </w:rPr>
      </w:pPr>
      <w:r>
        <w:rPr>
          <w:rFonts w:hint="eastAsia" w:ascii="宋体" w:hAnsi="宋体" w:cs="宋体"/>
          <w:b/>
          <w:szCs w:val="21"/>
        </w:rPr>
        <w:t>10.4.</w:t>
      </w:r>
      <w:r>
        <w:rPr>
          <w:rFonts w:ascii="宋体" w:hAnsi="宋体" w:cs="宋体"/>
          <w:b/>
          <w:szCs w:val="21"/>
        </w:rPr>
        <w:t>1</w:t>
      </w:r>
      <w:r>
        <w:rPr>
          <w:rFonts w:hint="eastAsia" w:ascii="宋体" w:hAnsi="宋体" w:cs="宋体"/>
          <w:b/>
          <w:szCs w:val="21"/>
        </w:rPr>
        <w:t>.</w:t>
      </w:r>
      <w:r>
        <w:rPr>
          <w:rFonts w:ascii="宋体" w:hAnsi="宋体" w:cs="宋体"/>
          <w:b/>
          <w:szCs w:val="21"/>
        </w:rPr>
        <w:t>3.</w:t>
      </w:r>
      <w:r>
        <w:rPr>
          <w:rFonts w:hint="eastAsia" w:ascii="宋体" w:hAnsi="宋体" w:cs="宋体"/>
          <w:b/>
          <w:szCs w:val="21"/>
        </w:rPr>
        <w:t>己标价工程量清单中无适用或类似子目的单价，则按以下原则确定：</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（1）这部分按《建设工程工程量清单计价规范》（GB50500-2013）、《重庆市建设工程工程量清单计价规则》（CQJJGZ-2013）、《重庆市建设工程工程量计算规则》（CQJLGZ-2013）、</w:t>
      </w:r>
      <w:r>
        <w:rPr>
          <w:rFonts w:hint="eastAsia" w:ascii="宋体" w:hAnsi="宋体" w:cs="宋体"/>
          <w:kern w:val="0"/>
          <w:szCs w:val="21"/>
        </w:rPr>
        <w:t>《重庆市房屋建筑与装饰工程计价定额》CQJZZSDE-2018、《重庆市仿古建筑工程计价定额》CQFGDE-2018、《重庆市通用安装工程计价定额》CQAZDE-2018、《重庆市市政工程计价定额》 CQSZDE</w:t>
      </w:r>
      <w:r>
        <w:rPr>
          <w:rFonts w:ascii="宋体" w:hAnsi="宋体" w:cs="宋体"/>
          <w:kern w:val="0"/>
          <w:szCs w:val="21"/>
        </w:rPr>
        <w:t>-</w:t>
      </w:r>
      <w:r>
        <w:rPr>
          <w:rFonts w:hint="eastAsia" w:ascii="宋体" w:hAnsi="宋体" w:cs="宋体"/>
          <w:kern w:val="0"/>
          <w:szCs w:val="21"/>
        </w:rPr>
        <w:t>2018、《重庆市园林绿化工程计价定额》CQYLLHDE</w:t>
      </w:r>
      <w:r>
        <w:rPr>
          <w:rFonts w:ascii="宋体" w:hAnsi="宋体" w:cs="宋体"/>
          <w:kern w:val="0"/>
          <w:szCs w:val="21"/>
        </w:rPr>
        <w:t>-</w:t>
      </w:r>
      <w:r>
        <w:rPr>
          <w:rFonts w:hint="eastAsia" w:ascii="宋体" w:hAnsi="宋体" w:cs="宋体"/>
          <w:kern w:val="0"/>
          <w:szCs w:val="21"/>
        </w:rPr>
        <w:t>2018、《重庆市构筑物工程计价定额》 CQGZWDE-2018、《重庆市城市轨道交通工程计价定额》CQGDDE-2018、《重庆市爆破工程计价定额》CQBPDE-2018、《重庆市房屋修缮工程计价定额》CQXSDE</w:t>
      </w:r>
      <w:r>
        <w:rPr>
          <w:rFonts w:ascii="宋体" w:hAnsi="宋体" w:cs="宋体"/>
          <w:kern w:val="0"/>
          <w:szCs w:val="21"/>
        </w:rPr>
        <w:t>-</w:t>
      </w:r>
      <w:r>
        <w:rPr>
          <w:rFonts w:hint="eastAsia" w:ascii="宋体" w:hAnsi="宋体" w:cs="宋体"/>
          <w:kern w:val="0"/>
          <w:szCs w:val="21"/>
        </w:rPr>
        <w:t>2018、《重庆市绿色建筑工程计价定额》 CQLSJZDE</w:t>
      </w:r>
      <w:r>
        <w:rPr>
          <w:rFonts w:ascii="宋体" w:hAnsi="宋体" w:cs="宋体"/>
          <w:kern w:val="0"/>
          <w:szCs w:val="21"/>
        </w:rPr>
        <w:t>-</w:t>
      </w:r>
      <w:r>
        <w:rPr>
          <w:rFonts w:hint="eastAsia" w:ascii="宋体" w:hAnsi="宋体" w:cs="宋体"/>
          <w:kern w:val="0"/>
          <w:szCs w:val="21"/>
        </w:rPr>
        <w:t>201</w:t>
      </w:r>
      <w:r>
        <w:rPr>
          <w:rFonts w:ascii="宋体" w:hAnsi="宋体" w:cs="宋体"/>
          <w:kern w:val="0"/>
          <w:szCs w:val="21"/>
        </w:rPr>
        <w:t>8</w:t>
      </w:r>
      <w:r>
        <w:rPr>
          <w:rFonts w:hint="eastAsia" w:ascii="宋体" w:hAnsi="宋体" w:cs="宋体"/>
          <w:kern w:val="0"/>
          <w:szCs w:val="21"/>
        </w:rPr>
        <w:t>、《重庆市建设工程</w:t>
      </w:r>
      <w:r>
        <w:rPr>
          <w:rFonts w:ascii="宋体" w:hAnsi="宋体" w:cs="宋体"/>
          <w:kern w:val="0"/>
          <w:szCs w:val="21"/>
        </w:rPr>
        <w:t>费用定额</w:t>
      </w:r>
      <w:r>
        <w:rPr>
          <w:rFonts w:hint="eastAsia" w:ascii="宋体" w:hAnsi="宋体" w:cs="宋体"/>
          <w:kern w:val="0"/>
          <w:szCs w:val="21"/>
        </w:rPr>
        <w:t>》 CQ</w:t>
      </w:r>
      <w:r>
        <w:rPr>
          <w:rFonts w:ascii="宋体" w:hAnsi="宋体" w:cs="宋体"/>
          <w:kern w:val="0"/>
          <w:szCs w:val="21"/>
        </w:rPr>
        <w:t>FYDE-</w:t>
      </w:r>
      <w:r>
        <w:rPr>
          <w:rFonts w:hint="eastAsia" w:ascii="宋体" w:hAnsi="宋体" w:cs="宋体"/>
          <w:kern w:val="0"/>
          <w:szCs w:val="21"/>
        </w:rPr>
        <w:t>2018、《重庆市建设工程施工机械台班定额》CQJXDE</w:t>
      </w:r>
      <w:r>
        <w:rPr>
          <w:rFonts w:ascii="宋体" w:hAnsi="宋体" w:cs="宋体"/>
          <w:kern w:val="0"/>
          <w:szCs w:val="21"/>
        </w:rPr>
        <w:t>-</w:t>
      </w:r>
      <w:r>
        <w:rPr>
          <w:rFonts w:hint="eastAsia" w:ascii="宋体" w:hAnsi="宋体" w:cs="宋体"/>
          <w:kern w:val="0"/>
          <w:szCs w:val="21"/>
        </w:rPr>
        <w:t>2018、《重庆市建设工程施工仪器仪表台班定额》CQYQYBDE-2018、《重庆市建设工程混凝土及砂浆配合比表》CQPHBB-2018</w:t>
      </w:r>
      <w:r>
        <w:rPr>
          <w:rFonts w:hint="eastAsia" w:ascii="宋体" w:hAnsi="宋体"/>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2018】69号）</w:t>
      </w:r>
      <w:r>
        <w:rPr>
          <w:rFonts w:hint="eastAsia" w:ascii="宋体" w:hAnsi="宋体" w:cs="宋体"/>
          <w:szCs w:val="21"/>
        </w:rPr>
        <w:t>及配套文件编制。</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（2）上述计价定额缺项时，可借用其它行业相关定额或编制补充定额。补充定额的消耗量应借用相关行业定额或现场实测，定额人工、定额材料、定额施工机具</w:t>
      </w:r>
      <w:r>
        <w:rPr>
          <w:rFonts w:ascii="宋体" w:hAnsi="宋体" w:cs="宋体"/>
          <w:szCs w:val="21"/>
        </w:rPr>
        <w:t>使用</w:t>
      </w:r>
      <w:r>
        <w:rPr>
          <w:rFonts w:hint="eastAsia" w:ascii="宋体" w:hAnsi="宋体" w:cs="宋体"/>
          <w:szCs w:val="21"/>
        </w:rPr>
        <w:t>执行前述（1）条所列定额的价格，如相关材料和机械无对应定额价格，按市场价的50%进入基价并取费率。</w:t>
      </w:r>
    </w:p>
    <w:p>
      <w:pPr>
        <w:widowControl/>
        <w:snapToGrid w:val="0"/>
        <w:spacing w:line="400" w:lineRule="exact"/>
        <w:ind w:firstLine="420" w:firstLineChars="200"/>
        <w:jc w:val="left"/>
        <w:rPr>
          <w:rFonts w:ascii="宋体" w:hAnsi="宋体"/>
          <w:szCs w:val="21"/>
        </w:rPr>
      </w:pPr>
      <w:r>
        <w:rPr>
          <w:rFonts w:ascii="宋体" w:hAnsi="宋体" w:cs="宋体"/>
          <w:szCs w:val="21"/>
        </w:rPr>
        <w:t>（</w:t>
      </w:r>
      <w:r>
        <w:rPr>
          <w:rFonts w:hint="eastAsia" w:ascii="宋体" w:hAnsi="宋体" w:cs="宋体"/>
          <w:szCs w:val="21"/>
        </w:rPr>
        <w:t>3</w:t>
      </w:r>
      <w:r>
        <w:rPr>
          <w:rFonts w:ascii="宋体" w:hAnsi="宋体" w:cs="宋体"/>
          <w:szCs w:val="21"/>
        </w:rPr>
        <w:t>）</w:t>
      </w:r>
      <w:r>
        <w:rPr>
          <w:rFonts w:hint="eastAsia" w:ascii="宋体" w:hAnsi="宋体"/>
          <w:szCs w:val="21"/>
        </w:rPr>
        <w:t>人工、材料单价的确定原则</w:t>
      </w:r>
    </w:p>
    <w:p>
      <w:pPr>
        <w:widowControl/>
        <w:snapToGrid w:val="0"/>
        <w:spacing w:line="400" w:lineRule="exact"/>
        <w:ind w:firstLine="365" w:firstLineChars="174"/>
        <w:jc w:val="left"/>
        <w:rPr>
          <w:rFonts w:ascii="宋体" w:hAnsi="宋体"/>
          <w:szCs w:val="21"/>
        </w:rPr>
      </w:pPr>
      <w:r>
        <w:rPr>
          <w:rFonts w:hint="eastAsia" w:ascii="宋体" w:hAnsi="宋体"/>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造价信息的由发包人根据市场行情认质核价］；投标报价中没有的人工单价按照投标当期《重庆工程造价信息》公布的价格执行（如有区间取中间值）；投标报价中没有的材料单价由发包人根据市场行情认质核价（可参考投标当期《重庆工程造价信息》各区县主要材料价格）。</w:t>
      </w:r>
    </w:p>
    <w:p>
      <w:pPr>
        <w:widowControl/>
        <w:snapToGrid w:val="0"/>
        <w:spacing w:line="400" w:lineRule="exact"/>
        <w:ind w:firstLine="365" w:firstLineChars="174"/>
        <w:jc w:val="left"/>
        <w:rPr>
          <w:rFonts w:ascii="宋体" w:hAnsi="宋体" w:cs="宋体"/>
          <w:szCs w:val="21"/>
        </w:rPr>
      </w:pPr>
      <w:r>
        <w:rPr>
          <w:rFonts w:ascii="宋体" w:hAnsi="宋体" w:cs="宋体"/>
          <w:szCs w:val="21"/>
        </w:rPr>
        <w:t>（</w:t>
      </w:r>
      <w:r>
        <w:rPr>
          <w:rFonts w:hint="eastAsia" w:ascii="宋体" w:hAnsi="宋体" w:cs="宋体"/>
          <w:szCs w:val="21"/>
        </w:rPr>
        <w:t>4</w:t>
      </w:r>
      <w:r>
        <w:rPr>
          <w:rFonts w:ascii="宋体" w:hAnsi="宋体" w:cs="宋体"/>
          <w:szCs w:val="21"/>
        </w:rPr>
        <w:t>）</w:t>
      </w:r>
      <w:r>
        <w:rPr>
          <w:rFonts w:hint="eastAsia" w:ascii="宋体" w:hAnsi="宋体" w:cs="宋体"/>
          <w:szCs w:val="21"/>
        </w:rPr>
        <w:t>管理费和利润按投标报价中相同分部的最低费率执行，高于费用定额标准的，按费用定额执行。</w:t>
      </w:r>
    </w:p>
    <w:p>
      <w:pPr>
        <w:widowControl/>
        <w:snapToGrid w:val="0"/>
        <w:spacing w:line="400" w:lineRule="exact"/>
        <w:ind w:firstLine="420" w:firstLineChars="200"/>
        <w:jc w:val="left"/>
        <w:rPr>
          <w:rFonts w:ascii="宋体" w:hAnsi="宋体"/>
          <w:kern w:val="0"/>
          <w:szCs w:val="21"/>
        </w:rPr>
      </w:pPr>
      <w:r>
        <w:rPr>
          <w:rFonts w:ascii="宋体" w:hAnsi="宋体" w:cs="宋体"/>
          <w:szCs w:val="21"/>
        </w:rPr>
        <w:t>（</w:t>
      </w:r>
      <w:r>
        <w:rPr>
          <w:rFonts w:hint="eastAsia" w:ascii="宋体" w:hAnsi="宋体" w:cs="宋体"/>
          <w:szCs w:val="21"/>
        </w:rPr>
        <w:t>5</w:t>
      </w:r>
      <w:r>
        <w:rPr>
          <w:rFonts w:ascii="宋体" w:hAnsi="宋体" w:cs="宋体"/>
          <w:szCs w:val="21"/>
        </w:rPr>
        <w:t>）</w:t>
      </w:r>
      <w:r>
        <w:rPr>
          <w:rFonts w:hint="eastAsia" w:ascii="宋体" w:hAnsi="宋体" w:cs="宋体"/>
          <w:szCs w:val="21"/>
        </w:rPr>
        <w:t>根据市场行情，对于需要采用市场综合单价（包括但不限于招标清单中全费用包干单价表中子项，如平基土石方、地基强夯、机械</w:t>
      </w:r>
      <w:r>
        <w:rPr>
          <w:rFonts w:ascii="宋体" w:hAnsi="宋体" w:cs="宋体"/>
          <w:szCs w:val="21"/>
        </w:rPr>
        <w:t>凿打石方</w:t>
      </w:r>
      <w:r>
        <w:rPr>
          <w:rFonts w:hint="eastAsia" w:ascii="宋体" w:hAnsi="宋体" w:cs="宋体"/>
          <w:szCs w:val="21"/>
        </w:rPr>
        <w:t>、钩机作业</w:t>
      </w:r>
      <w:r>
        <w:rPr>
          <w:rFonts w:ascii="宋体" w:hAnsi="宋体" w:cs="宋体"/>
          <w:szCs w:val="21"/>
        </w:rPr>
        <w:t>石方</w:t>
      </w:r>
      <w:r>
        <w:rPr>
          <w:rFonts w:hint="eastAsia" w:ascii="宋体" w:hAnsi="宋体" w:cs="宋体"/>
          <w:szCs w:val="21"/>
        </w:rPr>
        <w:t>、挖淤泥</w:t>
      </w:r>
      <w:r>
        <w:rPr>
          <w:rFonts w:ascii="宋体" w:hAnsi="宋体" w:cs="宋体"/>
          <w:szCs w:val="21"/>
        </w:rPr>
        <w:t>、抛石挤淤、路基翻挖、路基填方、旋挖桩土石方、</w:t>
      </w:r>
      <w:r>
        <w:rPr>
          <w:rFonts w:hint="eastAsia" w:ascii="宋体" w:hAnsi="宋体" w:cs="宋体"/>
          <w:szCs w:val="21"/>
        </w:rPr>
        <w:t>交通标线、波形护栏、</w:t>
      </w:r>
      <w:r>
        <w:rPr>
          <w:rFonts w:ascii="宋体" w:hAnsi="宋体" w:cs="宋体"/>
          <w:szCs w:val="21"/>
        </w:rPr>
        <w:t>涂膜防水</w:t>
      </w:r>
      <w:r>
        <w:rPr>
          <w:rFonts w:hint="eastAsia" w:ascii="宋体" w:hAnsi="宋体" w:cs="宋体"/>
          <w:szCs w:val="21"/>
        </w:rPr>
        <w:t>等）的，在发生变更新增单价的情况下，按市场行情以全费用综合包干单价方式组价，并经监理、</w:t>
      </w:r>
      <w:r>
        <w:rPr>
          <w:rFonts w:ascii="宋体" w:hAnsi="宋体" w:cs="宋体"/>
          <w:szCs w:val="21"/>
        </w:rPr>
        <w:t>造价咨询机构</w:t>
      </w:r>
      <w:r>
        <w:rPr>
          <w:rFonts w:hint="eastAsia" w:ascii="宋体" w:hAnsi="宋体" w:cs="宋体"/>
          <w:szCs w:val="21"/>
        </w:rPr>
        <w:t>审核后，报发包人核价审批。</w:t>
      </w:r>
      <w:r>
        <w:rPr>
          <w:rFonts w:hint="eastAsia" w:ascii="宋体" w:hAnsi="宋体"/>
          <w:kern w:val="0"/>
          <w:szCs w:val="21"/>
        </w:rPr>
        <w:t>若新增子目属于两江新区管委会应急工程限价计价原则中全费用总和包干单价表列明的子目，采取全费用组价方式，中标价相对于限价下浮超过5%的，采用表中的单价按照超出5%的比例同比下浮（例如中标下浮比例为8%，则采用表中单价下浮为3%）。</w:t>
      </w:r>
    </w:p>
    <w:p>
      <w:pPr>
        <w:widowControl/>
        <w:snapToGrid w:val="0"/>
        <w:spacing w:line="400" w:lineRule="exact"/>
        <w:ind w:firstLine="365" w:firstLineChars="174"/>
        <w:jc w:val="left"/>
        <w:rPr>
          <w:rFonts w:ascii="宋体" w:hAnsi="宋体"/>
          <w:kern w:val="0"/>
          <w:szCs w:val="21"/>
        </w:rPr>
      </w:pPr>
      <w:r>
        <w:rPr>
          <w:rFonts w:hint="eastAsia" w:ascii="宋体" w:hAnsi="宋体"/>
          <w:kern w:val="0"/>
          <w:szCs w:val="21"/>
        </w:rPr>
        <w:t>中标清单中无适用或类似子目的新增单价，按招标限价编制的计价原则进行组价，同时按投标报价与限价的比例同比例下浮</w:t>
      </w:r>
      <w:r>
        <w:rPr>
          <w:rFonts w:ascii="宋体" w:hAnsi="宋体"/>
          <w:kern w:val="0"/>
          <w:szCs w:val="21"/>
        </w:rPr>
        <w:t>，</w:t>
      </w:r>
      <w:r>
        <w:rPr>
          <w:rFonts w:hint="eastAsia" w:ascii="宋体" w:hAnsi="宋体"/>
          <w:kern w:val="0"/>
          <w:szCs w:val="21"/>
        </w:rPr>
        <w:t>经发包人、监理单位及造价咨询机构（如有）共同审核认定后通过。</w:t>
      </w:r>
    </w:p>
    <w:p>
      <w:pPr>
        <w:widowControl/>
        <w:snapToGrid w:val="0"/>
        <w:spacing w:line="400" w:lineRule="exact"/>
        <w:ind w:firstLine="365" w:firstLineChars="174"/>
        <w:jc w:val="left"/>
        <w:rPr>
          <w:rFonts w:ascii="宋体" w:hAnsi="宋体"/>
          <w:szCs w:val="21"/>
        </w:rPr>
      </w:pPr>
      <w:r>
        <w:rPr>
          <w:rFonts w:hint="eastAsia" w:ascii="宋体" w:hAnsi="宋体"/>
          <w:kern w:val="0"/>
          <w:szCs w:val="21"/>
        </w:rPr>
        <w:t>下浮比例的</w:t>
      </w:r>
      <w:r>
        <w:rPr>
          <w:rFonts w:ascii="宋体" w:hAnsi="宋体"/>
          <w:kern w:val="0"/>
          <w:szCs w:val="21"/>
        </w:rPr>
        <w:t>计算应</w:t>
      </w:r>
      <w:r>
        <w:rPr>
          <w:rFonts w:hint="eastAsia" w:ascii="宋体" w:hAnsi="宋体"/>
          <w:kern w:val="0"/>
          <w:szCs w:val="21"/>
        </w:rPr>
        <w:t>扣减</w:t>
      </w:r>
      <w:r>
        <w:rPr>
          <w:rFonts w:ascii="宋体" w:hAnsi="宋体"/>
          <w:kern w:val="0"/>
          <w:szCs w:val="21"/>
        </w:rPr>
        <w:t>非竞争性费用，如暂估价、暂列金额、安全文明施工费等，</w:t>
      </w:r>
      <w:r>
        <w:rPr>
          <w:rFonts w:hint="eastAsia" w:ascii="宋体" w:hAnsi="宋体"/>
          <w:kern w:val="0"/>
          <w:szCs w:val="21"/>
        </w:rPr>
        <w:t>例如</w:t>
      </w:r>
      <w:r>
        <w:rPr>
          <w:rFonts w:ascii="宋体" w:hAnsi="宋体"/>
          <w:kern w:val="0"/>
          <w:szCs w:val="21"/>
        </w:rPr>
        <w:t>，</w:t>
      </w:r>
      <w:r>
        <w:rPr>
          <w:rFonts w:hint="eastAsia" w:ascii="宋体" w:hAnsi="宋体"/>
          <w:kern w:val="0"/>
          <w:szCs w:val="21"/>
        </w:rPr>
        <w:t>招标</w:t>
      </w:r>
      <w:r>
        <w:rPr>
          <w:rFonts w:ascii="宋体" w:hAnsi="宋体"/>
          <w:kern w:val="0"/>
          <w:szCs w:val="21"/>
        </w:rPr>
        <w:t>限价</w:t>
      </w:r>
      <w:r>
        <w:rPr>
          <w:rFonts w:hint="eastAsia" w:ascii="宋体" w:hAnsi="宋体"/>
          <w:kern w:val="0"/>
          <w:szCs w:val="21"/>
        </w:rPr>
        <w:t>为A，限价</w:t>
      </w:r>
      <w:r>
        <w:rPr>
          <w:rFonts w:ascii="宋体" w:hAnsi="宋体"/>
          <w:kern w:val="0"/>
          <w:szCs w:val="21"/>
        </w:rPr>
        <w:t>中非竞争性费用为</w:t>
      </w:r>
      <w:r>
        <w:rPr>
          <w:rFonts w:hint="eastAsia" w:ascii="宋体" w:hAnsi="宋体"/>
          <w:kern w:val="0"/>
          <w:szCs w:val="21"/>
        </w:rPr>
        <w:t>B，</w:t>
      </w:r>
      <w:r>
        <w:rPr>
          <w:rFonts w:ascii="宋体" w:hAnsi="宋体"/>
          <w:kern w:val="0"/>
          <w:szCs w:val="21"/>
        </w:rPr>
        <w:t>投标价</w:t>
      </w:r>
      <w:r>
        <w:rPr>
          <w:rFonts w:hint="eastAsia" w:ascii="宋体" w:hAnsi="宋体"/>
          <w:kern w:val="0"/>
          <w:szCs w:val="21"/>
        </w:rPr>
        <w:t>为C，下浮率</w:t>
      </w:r>
      <w:r>
        <w:rPr>
          <w:rFonts w:ascii="宋体" w:hAnsi="宋体"/>
          <w:kern w:val="0"/>
          <w:szCs w:val="21"/>
        </w:rPr>
        <w:t>=1-(C-B)/(A-B)</w:t>
      </w:r>
      <w:r>
        <w:rPr>
          <w:rFonts w:hint="eastAsia" w:ascii="宋体" w:hAnsi="宋体"/>
          <w:kern w:val="0"/>
          <w:szCs w:val="21"/>
        </w:rPr>
        <w:t>*</w:t>
      </w:r>
      <w:r>
        <w:rPr>
          <w:rFonts w:ascii="宋体" w:hAnsi="宋体"/>
          <w:kern w:val="0"/>
          <w:szCs w:val="21"/>
        </w:rPr>
        <w:t>100%</w:t>
      </w:r>
      <w:r>
        <w:rPr>
          <w:rFonts w:hint="eastAsia" w:ascii="宋体" w:hAnsi="宋体"/>
          <w:kern w:val="0"/>
          <w:szCs w:val="21"/>
        </w:rPr>
        <w:t>。</w:t>
      </w:r>
    </w:p>
    <w:p>
      <w:pPr>
        <w:widowControl/>
        <w:snapToGrid w:val="0"/>
        <w:spacing w:line="400" w:lineRule="exact"/>
        <w:ind w:firstLine="365" w:firstLineChars="174"/>
        <w:jc w:val="left"/>
        <w:rPr>
          <w:rFonts w:ascii="宋体" w:hAnsi="宋体" w:cs="宋体"/>
          <w:szCs w:val="21"/>
        </w:rPr>
      </w:pPr>
      <w:r>
        <w:rPr>
          <w:rFonts w:hint="eastAsia" w:ascii="宋体" w:hAnsi="宋体" w:cs="宋体"/>
          <w:szCs w:val="21"/>
        </w:rPr>
        <w:t>10.4.</w:t>
      </w:r>
      <w:r>
        <w:rPr>
          <w:rFonts w:ascii="宋体" w:hAnsi="宋体" w:cs="宋体"/>
          <w:szCs w:val="21"/>
        </w:rPr>
        <w:t>1</w:t>
      </w:r>
      <w:r>
        <w:rPr>
          <w:rFonts w:hint="eastAsia" w:ascii="宋体" w:hAnsi="宋体" w:cs="宋体"/>
          <w:szCs w:val="21"/>
        </w:rPr>
        <w:t>.4 安全文明施工费按照工程开工时2018年《重庆市建设工程费用定额》相关规定合格标准执行。</w:t>
      </w:r>
    </w:p>
    <w:p>
      <w:pPr>
        <w:widowControl/>
        <w:spacing w:line="400" w:lineRule="exact"/>
        <w:ind w:firstLine="420" w:firstLineChars="200"/>
        <w:jc w:val="left"/>
        <w:rPr>
          <w:rFonts w:ascii="宋体" w:hAnsi="宋体" w:cs="宋体"/>
          <w:szCs w:val="21"/>
        </w:rPr>
      </w:pPr>
      <w:r>
        <w:rPr>
          <w:rFonts w:hint="eastAsia" w:ascii="宋体" w:hAnsi="宋体" w:cs="宋体"/>
          <w:szCs w:val="21"/>
        </w:rPr>
        <w:t>10.4.</w:t>
      </w:r>
      <w:r>
        <w:rPr>
          <w:rFonts w:ascii="宋体" w:hAnsi="宋体" w:cs="宋体"/>
          <w:szCs w:val="21"/>
        </w:rPr>
        <w:t>1</w:t>
      </w:r>
      <w:r>
        <w:rPr>
          <w:rFonts w:hint="eastAsia" w:ascii="宋体" w:hAnsi="宋体" w:cs="宋体"/>
          <w:szCs w:val="21"/>
        </w:rPr>
        <w:t>.5 措施费计价原则：组织措施和技术措施费按结算原则的规定调整。</w:t>
      </w:r>
    </w:p>
    <w:p>
      <w:pPr>
        <w:widowControl/>
        <w:spacing w:line="400" w:lineRule="exact"/>
        <w:ind w:firstLine="420" w:firstLineChars="200"/>
        <w:jc w:val="left"/>
        <w:rPr>
          <w:szCs w:val="21"/>
        </w:rPr>
      </w:pPr>
      <w:r>
        <w:rPr>
          <w:rFonts w:hint="eastAsia" w:ascii="宋体" w:hAnsi="宋体" w:cs="宋体"/>
          <w:szCs w:val="21"/>
        </w:rPr>
        <w:t>10.4.</w:t>
      </w:r>
      <w:r>
        <w:rPr>
          <w:rFonts w:ascii="宋体" w:hAnsi="宋体" w:cs="宋体"/>
          <w:szCs w:val="21"/>
        </w:rPr>
        <w:t>1</w:t>
      </w:r>
      <w:r>
        <w:rPr>
          <w:rFonts w:hint="eastAsia" w:ascii="宋体" w:hAnsi="宋体" w:cs="宋体"/>
          <w:szCs w:val="21"/>
        </w:rPr>
        <w:t>.6 如需要认质核价:按照《两江新区水土高新技术产业园建设投资有限公司造价管理办法》执行。</w:t>
      </w:r>
    </w:p>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Pr>
        <w:widowControl/>
        <w:spacing w:line="400" w:lineRule="exact"/>
        <w:ind w:firstLine="420" w:firstLineChars="200"/>
        <w:jc w:val="left"/>
        <w:rPr>
          <w:rFonts w:ascii="宋体" w:hAnsi="宋体"/>
          <w:szCs w:val="21"/>
        </w:rPr>
      </w:pPr>
      <w:r>
        <w:rPr>
          <w:rFonts w:ascii="宋体" w:hAnsi="宋体"/>
          <w:szCs w:val="21"/>
        </w:rPr>
        <w:t>1</w:t>
      </w:r>
      <w:bookmarkStart w:id="547" w:name="_Toc296503199"/>
      <w:bookmarkStart w:id="548" w:name="_Toc296944538"/>
      <w:bookmarkStart w:id="549" w:name="_Toc297216207"/>
      <w:bookmarkStart w:id="550" w:name="_Toc297048385"/>
      <w:bookmarkStart w:id="551" w:name="_Toc300934997"/>
      <w:bookmarkStart w:id="552" w:name="_Toc296347198"/>
      <w:bookmarkStart w:id="553" w:name="_Toc297123548"/>
      <w:bookmarkStart w:id="554" w:name="_Toc312677507"/>
      <w:bookmarkStart w:id="555" w:name="_Toc292559404"/>
      <w:bookmarkStart w:id="556" w:name="_Toc303539154"/>
      <w:bookmarkStart w:id="557" w:name="_Toc312678033"/>
      <w:bookmarkStart w:id="558" w:name="_Toc297120499"/>
      <w:bookmarkStart w:id="559" w:name="_Toc304295574"/>
      <w:bookmarkStart w:id="560" w:name="_Toc296346700"/>
      <w:bookmarkStart w:id="561" w:name="_Toc296891027"/>
      <w:bookmarkStart w:id="562" w:name="_Toc292559909"/>
      <w:bookmarkStart w:id="563" w:name="_Toc296891239"/>
      <w:r>
        <w:rPr>
          <w:rFonts w:ascii="宋体" w:hAnsi="宋体"/>
          <w:szCs w:val="21"/>
        </w:rPr>
        <w:t>0.7 暂估价</w:t>
      </w:r>
    </w:p>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Pr>
        <w:widowControl/>
        <w:adjustRightInd w:val="0"/>
        <w:snapToGrid w:val="0"/>
        <w:spacing w:line="400" w:lineRule="exact"/>
        <w:ind w:firstLine="420" w:firstLineChars="200"/>
        <w:jc w:val="left"/>
        <w:rPr>
          <w:rFonts w:ascii="宋体" w:hAnsi="宋体"/>
          <w:szCs w:val="21"/>
        </w:rPr>
      </w:pPr>
      <w:r>
        <w:rPr>
          <w:rFonts w:ascii="宋体" w:hAnsi="宋体"/>
          <w:szCs w:val="21"/>
        </w:rPr>
        <w:t>10.7</w:t>
      </w:r>
      <w:r>
        <w:rPr>
          <w:rFonts w:hint="eastAsia" w:ascii="宋体" w:hAnsi="宋体"/>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pPr>
        <w:widowControl/>
        <w:adjustRightInd w:val="0"/>
        <w:snapToGrid w:val="0"/>
        <w:spacing w:line="400" w:lineRule="exact"/>
        <w:ind w:firstLine="420" w:firstLineChars="200"/>
        <w:jc w:val="left"/>
        <w:rPr>
          <w:rFonts w:ascii="宋体" w:hAnsi="宋体"/>
          <w:b/>
          <w:szCs w:val="21"/>
        </w:rPr>
      </w:pPr>
      <w:r>
        <w:rPr>
          <w:rFonts w:ascii="宋体" w:hAnsi="宋体"/>
          <w:szCs w:val="21"/>
        </w:rPr>
        <w:t>10.7</w:t>
      </w:r>
      <w:r>
        <w:rPr>
          <w:rFonts w:hint="eastAsia" w:ascii="宋体" w:hAnsi="宋体"/>
          <w:szCs w:val="21"/>
        </w:rPr>
        <w:t>.2 不属于依法必须招标的暂估价工程最终价格的估价：按本专用条款第10.4款进行估价。</w:t>
      </w:r>
    </w:p>
    <w:p>
      <w:pPr>
        <w:widowControl/>
        <w:spacing w:line="400" w:lineRule="exact"/>
        <w:ind w:firstLine="422" w:firstLineChars="200"/>
        <w:jc w:val="left"/>
        <w:rPr>
          <w:rFonts w:ascii="宋体" w:hAnsi="宋体"/>
          <w:b/>
          <w:szCs w:val="21"/>
        </w:rPr>
      </w:pPr>
      <w:r>
        <w:rPr>
          <w:rFonts w:ascii="宋体" w:hAnsi="宋体"/>
          <w:b/>
          <w:szCs w:val="21"/>
        </w:rPr>
        <w:t>10.8 暂列金额</w:t>
      </w:r>
    </w:p>
    <w:p>
      <w:pPr>
        <w:widowControl/>
        <w:autoSpaceDE w:val="0"/>
        <w:autoSpaceDN w:val="0"/>
        <w:adjustRightInd w:val="0"/>
        <w:spacing w:line="400" w:lineRule="exact"/>
        <w:ind w:firstLine="420" w:firstLineChars="200"/>
        <w:jc w:val="left"/>
        <w:rPr>
          <w:rFonts w:ascii="宋体" w:hAnsi="宋体"/>
          <w:szCs w:val="21"/>
          <w:u w:val="single"/>
        </w:rPr>
      </w:pPr>
      <w:r>
        <w:rPr>
          <w:rFonts w:hint="eastAsia" w:ascii="宋体" w:hAnsi="宋体"/>
          <w:kern w:val="0"/>
          <w:szCs w:val="21"/>
        </w:rPr>
        <w:t>合同当事人关于暂列金额使用的约定：</w:t>
      </w:r>
      <w:r>
        <w:rPr>
          <w:rFonts w:hint="eastAsia" w:ascii="宋体" w:hAnsi="宋体"/>
          <w:kern w:val="0"/>
          <w:szCs w:val="21"/>
          <w:u w:val="single"/>
        </w:rPr>
        <w:t>按发包人要求执行</w:t>
      </w:r>
      <w:r>
        <w:rPr>
          <w:rFonts w:hint="eastAsia" w:ascii="宋体" w:hAnsi="宋体"/>
          <w:kern w:val="0"/>
          <w:szCs w:val="21"/>
        </w:rPr>
        <w:t>。</w:t>
      </w:r>
    </w:p>
    <w:p>
      <w:pPr>
        <w:widowControl/>
        <w:autoSpaceDE w:val="0"/>
        <w:autoSpaceDN w:val="0"/>
        <w:adjustRightInd w:val="0"/>
        <w:spacing w:line="400" w:lineRule="exact"/>
        <w:ind w:firstLine="422" w:firstLineChars="200"/>
        <w:outlineLvl w:val="3"/>
        <w:rPr>
          <w:rFonts w:ascii="宋体" w:hAnsi="宋体"/>
          <w:b/>
          <w:szCs w:val="21"/>
        </w:rPr>
      </w:pPr>
      <w:bookmarkStart w:id="564" w:name="_Toc351203643"/>
      <w:r>
        <w:rPr>
          <w:rFonts w:ascii="宋体" w:hAnsi="宋体"/>
          <w:b/>
          <w:szCs w:val="21"/>
        </w:rPr>
        <w:t>11. 价格调整</w:t>
      </w:r>
      <w:bookmarkEnd w:id="564"/>
    </w:p>
    <w:p>
      <w:pPr>
        <w:widowControl/>
        <w:spacing w:line="400" w:lineRule="exact"/>
        <w:ind w:firstLine="420" w:firstLineChars="200"/>
        <w:jc w:val="left"/>
        <w:rPr>
          <w:rFonts w:ascii="宋体" w:hAnsi="宋体"/>
          <w:szCs w:val="21"/>
        </w:rPr>
      </w:pPr>
      <w:bookmarkStart w:id="565" w:name="_Toc304295577"/>
      <w:bookmarkStart w:id="566" w:name="_Toc297216209"/>
      <w:bookmarkStart w:id="567" w:name="_Toc300935000"/>
      <w:bookmarkStart w:id="568" w:name="_Toc312678039"/>
      <w:bookmarkStart w:id="569" w:name="_Toc303539157"/>
      <w:bookmarkStart w:id="570" w:name="_Toc296944540"/>
      <w:bookmarkStart w:id="571" w:name="_Toc296347200"/>
      <w:bookmarkStart w:id="572" w:name="_Toc297048387"/>
      <w:bookmarkStart w:id="573" w:name="_Toc297120501"/>
      <w:bookmarkStart w:id="574" w:name="_Toc292559406"/>
      <w:bookmarkStart w:id="575" w:name="_Toc297123550"/>
      <w:bookmarkStart w:id="576" w:name="_Toc296503201"/>
      <w:bookmarkStart w:id="577" w:name="_Toc292559911"/>
      <w:bookmarkStart w:id="578" w:name="_Toc296891029"/>
      <w:bookmarkStart w:id="579" w:name="_Toc296891241"/>
      <w:bookmarkStart w:id="580" w:name="_Toc296346702"/>
      <w:r>
        <w:rPr>
          <w:rFonts w:ascii="宋体" w:hAnsi="宋体"/>
          <w:szCs w:val="21"/>
        </w:rPr>
        <w:t>11.1 市场价格波动引起的调整</w:t>
      </w:r>
    </w:p>
    <w:bookmarkEnd w:id="523"/>
    <w:bookmarkEnd w:id="524"/>
    <w:bookmarkEnd w:id="525"/>
    <w:bookmarkEnd w:id="526"/>
    <w:bookmarkEnd w:id="527"/>
    <w:bookmarkEnd w:id="528"/>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Pr>
        <w:widowControl/>
        <w:adjustRightInd w:val="0"/>
        <w:snapToGrid w:val="0"/>
        <w:spacing w:line="400" w:lineRule="exact"/>
        <w:ind w:firstLine="315" w:firstLineChars="150"/>
        <w:jc w:val="left"/>
        <w:rPr>
          <w:rFonts w:ascii="宋体" w:hAnsi="宋体"/>
          <w:szCs w:val="21"/>
        </w:rPr>
      </w:pPr>
      <w:bookmarkStart w:id="581" w:name="_Toc296346706"/>
      <w:bookmarkStart w:id="582" w:name="_Toc297120505"/>
      <w:bookmarkStart w:id="583" w:name="_Toc296347204"/>
      <w:bookmarkStart w:id="584" w:name="_Toc296503205"/>
      <w:bookmarkStart w:id="585" w:name="_Toc292559410"/>
      <w:bookmarkStart w:id="586" w:name="_Toc296891033"/>
      <w:bookmarkStart w:id="587" w:name="_Toc296891245"/>
      <w:bookmarkStart w:id="588" w:name="_Toc297048391"/>
      <w:bookmarkStart w:id="589" w:name="_Toc296944544"/>
      <w:bookmarkStart w:id="590" w:name="_Toc292559915"/>
      <w:bookmarkStart w:id="591" w:name="_Toc351203644"/>
      <w:bookmarkStart w:id="592" w:name="_Toc312678040"/>
      <w:bookmarkStart w:id="593" w:name="_Toc297123552"/>
      <w:bookmarkStart w:id="594" w:name="_Toc297216211"/>
      <w:bookmarkStart w:id="595" w:name="_Toc300935002"/>
      <w:bookmarkStart w:id="596" w:name="_Toc303539159"/>
      <w:bookmarkStart w:id="597" w:name="_Toc304295579"/>
      <w:r>
        <w:rPr>
          <w:rFonts w:hint="eastAsia" w:ascii="宋体" w:hAnsi="宋体"/>
          <w:szCs w:val="21"/>
        </w:rPr>
        <w:t>调整范围：针对合同工期一年及以上项目的商品砼、钢材、</w:t>
      </w:r>
      <w:r>
        <w:rPr>
          <w:rFonts w:ascii="宋体" w:hAnsi="宋体"/>
          <w:szCs w:val="21"/>
        </w:rPr>
        <w:t>预拌砂浆、</w:t>
      </w:r>
      <w:r>
        <w:rPr>
          <w:rFonts w:hint="eastAsia" w:ascii="宋体" w:hAnsi="宋体"/>
          <w:szCs w:val="21"/>
        </w:rPr>
        <w:t>沥青砼</w:t>
      </w:r>
      <w:r>
        <w:rPr>
          <w:rFonts w:ascii="宋体" w:hAnsi="宋体"/>
          <w:szCs w:val="21"/>
        </w:rPr>
        <w:t>、</w:t>
      </w:r>
      <w:r>
        <w:rPr>
          <w:rFonts w:hint="eastAsia" w:ascii="宋体" w:hAnsi="宋体"/>
          <w:szCs w:val="21"/>
        </w:rPr>
        <w:t>水稳层</w:t>
      </w:r>
      <w:r>
        <w:rPr>
          <w:rFonts w:ascii="宋体" w:hAnsi="宋体"/>
          <w:szCs w:val="21"/>
        </w:rPr>
        <w:t>、水泥、砂、石子</w:t>
      </w:r>
      <w:r>
        <w:rPr>
          <w:rFonts w:hint="eastAsia" w:ascii="宋体" w:hAnsi="宋体"/>
          <w:szCs w:val="21"/>
        </w:rPr>
        <w:t>。</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物价波动引起的价格调整方法：</w:t>
      </w:r>
      <w:r>
        <w:rPr>
          <w:rFonts w:hint="eastAsia" w:ascii="宋体" w:hAnsi="宋体"/>
          <w:szCs w:val="21"/>
          <w:u w:val="single"/>
        </w:rPr>
        <w:t>按本合同11.2要求调整。</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风险费用的计算方法：综合考虑在投标报价中。</w:t>
      </w:r>
    </w:p>
    <w:p>
      <w:pPr>
        <w:widowControl/>
        <w:adjustRightInd w:val="0"/>
        <w:snapToGrid w:val="0"/>
        <w:spacing w:line="400" w:lineRule="exact"/>
        <w:ind w:firstLine="315" w:firstLineChars="150"/>
        <w:jc w:val="left"/>
        <w:rPr>
          <w:rFonts w:ascii="宋体" w:hAnsi="宋体"/>
          <w:szCs w:val="21"/>
          <w:u w:val="single"/>
        </w:rPr>
      </w:pPr>
      <w:r>
        <w:rPr>
          <w:rFonts w:hint="eastAsia" w:ascii="宋体" w:hAnsi="宋体"/>
          <w:szCs w:val="21"/>
        </w:rPr>
        <w:t>11.2价差调整</w:t>
      </w:r>
      <w:r>
        <w:rPr>
          <w:rFonts w:hint="eastAsia" w:ascii="宋体" w:hAnsi="宋体"/>
          <w:szCs w:val="21"/>
          <w:u w:val="single"/>
        </w:rPr>
        <w:t xml:space="preserve"> 用算术平均法进行调差 </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1)基准价格A：以开标之日前15日历天对应的月份《重庆工程造价信息》公布的商品砼、钢材、</w:t>
      </w:r>
      <w:r>
        <w:rPr>
          <w:rFonts w:ascii="宋体" w:hAnsi="宋体"/>
          <w:szCs w:val="21"/>
        </w:rPr>
        <w:t>预拌砂浆、</w:t>
      </w:r>
      <w:r>
        <w:rPr>
          <w:rFonts w:hint="eastAsia" w:ascii="宋体" w:hAnsi="宋体"/>
          <w:szCs w:val="21"/>
        </w:rPr>
        <w:t>沥青砼</w:t>
      </w:r>
      <w:r>
        <w:rPr>
          <w:rFonts w:ascii="宋体" w:hAnsi="宋体"/>
          <w:szCs w:val="21"/>
        </w:rPr>
        <w:t>、</w:t>
      </w:r>
      <w:r>
        <w:rPr>
          <w:rFonts w:hint="eastAsia" w:ascii="宋体" w:hAnsi="宋体"/>
          <w:szCs w:val="21"/>
        </w:rPr>
        <w:t>水稳层</w:t>
      </w:r>
      <w:r>
        <w:rPr>
          <w:rFonts w:ascii="宋体" w:hAnsi="宋体"/>
          <w:szCs w:val="21"/>
        </w:rPr>
        <w:t>、水泥、砂、石子</w:t>
      </w:r>
      <w:r>
        <w:rPr>
          <w:rFonts w:hint="eastAsia" w:ascii="宋体" w:hAnsi="宋体"/>
          <w:szCs w:val="21"/>
        </w:rPr>
        <w:t>单价作为调差基准价。</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2)算术平均价格B：以工程开工到主体结构完工的所有月份的《重庆工程造价信息》公布价，计算出商品砼、钢材、</w:t>
      </w:r>
      <w:r>
        <w:rPr>
          <w:rFonts w:ascii="宋体" w:hAnsi="宋体"/>
          <w:szCs w:val="21"/>
        </w:rPr>
        <w:t>预拌砂浆、</w:t>
      </w:r>
      <w:r>
        <w:rPr>
          <w:rFonts w:hint="eastAsia" w:ascii="宋体" w:hAnsi="宋体"/>
          <w:szCs w:val="21"/>
        </w:rPr>
        <w:t>沥青砼</w:t>
      </w:r>
      <w:r>
        <w:rPr>
          <w:rFonts w:ascii="宋体" w:hAnsi="宋体"/>
          <w:szCs w:val="21"/>
        </w:rPr>
        <w:t>、</w:t>
      </w:r>
      <w:r>
        <w:rPr>
          <w:rFonts w:hint="eastAsia" w:ascii="宋体" w:hAnsi="宋体"/>
          <w:szCs w:val="21"/>
        </w:rPr>
        <w:t>水稳层</w:t>
      </w:r>
      <w:r>
        <w:rPr>
          <w:rFonts w:ascii="宋体" w:hAnsi="宋体"/>
          <w:szCs w:val="21"/>
        </w:rPr>
        <w:t>、水泥、砂、石子</w:t>
      </w:r>
      <w:r>
        <w:rPr>
          <w:rFonts w:hint="eastAsia" w:ascii="宋体" w:hAnsi="宋体"/>
          <w:szCs w:val="21"/>
        </w:rPr>
        <w:t>的算术平均价。</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3)调差总量C：经业主和监理确认的竣工图及相关经济签证计算出工程量，按规定</w:t>
      </w:r>
      <w:r>
        <w:rPr>
          <w:rFonts w:ascii="宋体" w:hAnsi="宋体"/>
          <w:szCs w:val="21"/>
        </w:rPr>
        <w:t>的</w:t>
      </w:r>
      <w:r>
        <w:rPr>
          <w:rFonts w:hint="eastAsia" w:ascii="宋体" w:hAnsi="宋体"/>
          <w:szCs w:val="21"/>
        </w:rPr>
        <w:t>定额消耗量作为调差总量，</w:t>
      </w:r>
      <w:r>
        <w:rPr>
          <w:rFonts w:ascii="宋体" w:hAnsi="宋体"/>
          <w:szCs w:val="21"/>
        </w:rPr>
        <w:t>原则上</w:t>
      </w:r>
      <w:r>
        <w:rPr>
          <w:rFonts w:hint="eastAsia" w:ascii="宋体" w:hAnsi="宋体"/>
          <w:szCs w:val="21"/>
        </w:rPr>
        <w:t>以</w:t>
      </w:r>
      <w:r>
        <w:rPr>
          <w:rFonts w:ascii="宋体" w:hAnsi="宋体"/>
          <w:szCs w:val="21"/>
        </w:rPr>
        <w:t>定额消耗量为准，若中标消耗量低于定额消耗量，以中标消耗量为准。</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4)调差金额D：算术平均价与基准价相比涨跌在±5%以内的,不予调差；算术平均价与基准价相比涨跌超过±5%的，其超出部分计算调差费用。具体调差公式如下：</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若B/A＞1.05，则D=（B-A×1.05）×C；</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若B/A＜0.95，则D=（A×0.95-B）×C。</w:t>
      </w:r>
    </w:p>
    <w:p>
      <w:pPr>
        <w:widowControl/>
        <w:spacing w:line="400" w:lineRule="exact"/>
        <w:ind w:firstLine="315" w:firstLineChars="150"/>
        <w:jc w:val="left"/>
        <w:rPr>
          <w:rFonts w:ascii="宋体" w:hAnsi="宋体"/>
          <w:szCs w:val="21"/>
        </w:rPr>
      </w:pPr>
      <w:r>
        <w:rPr>
          <w:rFonts w:hint="eastAsia" w:ascii="宋体" w:hAnsi="宋体"/>
          <w:szCs w:val="21"/>
        </w:rPr>
        <w:t>该调差金额除税金外不再计取任何费用。在结算时一次性调整。</w:t>
      </w:r>
    </w:p>
    <w:p>
      <w:pPr>
        <w:widowControl/>
        <w:autoSpaceDE w:val="0"/>
        <w:autoSpaceDN w:val="0"/>
        <w:adjustRightInd w:val="0"/>
        <w:spacing w:line="400" w:lineRule="exact"/>
        <w:outlineLvl w:val="3"/>
        <w:rPr>
          <w:rFonts w:ascii="宋体" w:hAnsi="宋体"/>
          <w:b/>
          <w:szCs w:val="21"/>
        </w:rPr>
      </w:pPr>
      <w:r>
        <w:rPr>
          <w:rFonts w:ascii="宋体" w:hAnsi="宋体"/>
          <w:b/>
          <w:szCs w:val="21"/>
        </w:rPr>
        <w:t xml:space="preserve">12. </w:t>
      </w:r>
      <w:bookmarkEnd w:id="581"/>
      <w:bookmarkEnd w:id="582"/>
      <w:bookmarkEnd w:id="583"/>
      <w:bookmarkEnd w:id="584"/>
      <w:bookmarkEnd w:id="585"/>
      <w:bookmarkEnd w:id="586"/>
      <w:bookmarkEnd w:id="587"/>
      <w:bookmarkEnd w:id="588"/>
      <w:bookmarkEnd w:id="589"/>
      <w:bookmarkEnd w:id="590"/>
      <w:r>
        <w:rPr>
          <w:rFonts w:ascii="宋体" w:hAnsi="宋体"/>
          <w:b/>
          <w:szCs w:val="21"/>
        </w:rPr>
        <w:t>合同价格、计量与支付</w:t>
      </w:r>
      <w:bookmarkEnd w:id="591"/>
    </w:p>
    <w:bookmarkEnd w:id="592"/>
    <w:bookmarkEnd w:id="593"/>
    <w:bookmarkEnd w:id="594"/>
    <w:bookmarkEnd w:id="595"/>
    <w:bookmarkEnd w:id="596"/>
    <w:bookmarkEnd w:id="597"/>
    <w:p>
      <w:pPr>
        <w:widowControl/>
        <w:spacing w:line="400" w:lineRule="exact"/>
        <w:ind w:firstLine="422" w:firstLineChars="200"/>
        <w:jc w:val="left"/>
        <w:rPr>
          <w:rFonts w:ascii="宋体" w:hAnsi="宋体"/>
          <w:b/>
          <w:szCs w:val="21"/>
        </w:rPr>
      </w:pPr>
      <w:bookmarkStart w:id="598" w:name="_Toc292559411"/>
      <w:bookmarkStart w:id="599" w:name="_Toc267251461"/>
      <w:bookmarkStart w:id="600" w:name="_Toc292559916"/>
      <w:bookmarkStart w:id="601" w:name="_Toc296346707"/>
      <w:bookmarkStart w:id="602" w:name="_Toc296891246"/>
      <w:bookmarkStart w:id="603" w:name="_Toc296944545"/>
      <w:bookmarkStart w:id="604" w:name="_Toc297048392"/>
      <w:bookmarkStart w:id="605" w:name="_Toc297120506"/>
      <w:bookmarkStart w:id="606" w:name="_Toc296347205"/>
      <w:bookmarkStart w:id="607" w:name="_Toc296503206"/>
      <w:bookmarkStart w:id="608" w:name="_Toc296891034"/>
      <w:bookmarkStart w:id="609" w:name="_Toc297123553"/>
      <w:bookmarkStart w:id="610" w:name="_Toc297216212"/>
      <w:bookmarkStart w:id="611" w:name="_Toc303539160"/>
      <w:bookmarkStart w:id="612" w:name="_Toc304295580"/>
      <w:bookmarkStart w:id="613" w:name="_Toc312678041"/>
      <w:bookmarkStart w:id="614" w:name="_Toc300935003"/>
      <w:r>
        <w:rPr>
          <w:rFonts w:ascii="宋体" w:hAnsi="宋体"/>
          <w:b/>
          <w:szCs w:val="21"/>
        </w:rPr>
        <w:t>12.1 合</w:t>
      </w:r>
      <w:bookmarkEnd w:id="598"/>
      <w:bookmarkEnd w:id="599"/>
      <w:bookmarkEnd w:id="600"/>
      <w:r>
        <w:rPr>
          <w:rFonts w:ascii="宋体" w:hAnsi="宋体"/>
          <w:b/>
          <w:szCs w:val="21"/>
        </w:rPr>
        <w:t>同价</w:t>
      </w:r>
      <w:bookmarkEnd w:id="601"/>
      <w:bookmarkEnd w:id="602"/>
      <w:bookmarkEnd w:id="603"/>
      <w:bookmarkEnd w:id="604"/>
      <w:bookmarkEnd w:id="605"/>
      <w:bookmarkEnd w:id="606"/>
      <w:bookmarkEnd w:id="607"/>
      <w:bookmarkEnd w:id="608"/>
      <w:r>
        <w:rPr>
          <w:rFonts w:ascii="宋体" w:hAnsi="宋体"/>
          <w:b/>
          <w:szCs w:val="21"/>
        </w:rPr>
        <w:t>格形式</w:t>
      </w:r>
    </w:p>
    <w:bookmarkEnd w:id="609"/>
    <w:bookmarkEnd w:id="610"/>
    <w:bookmarkEnd w:id="611"/>
    <w:bookmarkEnd w:id="612"/>
    <w:bookmarkEnd w:id="613"/>
    <w:bookmarkEnd w:id="614"/>
    <w:p>
      <w:pPr>
        <w:widowControl/>
        <w:spacing w:line="400" w:lineRule="exact"/>
        <w:ind w:firstLine="420" w:firstLineChars="200"/>
        <w:jc w:val="left"/>
        <w:rPr>
          <w:rFonts w:ascii="宋体" w:hAnsi="宋体"/>
          <w:szCs w:val="21"/>
        </w:rPr>
      </w:pPr>
      <w:r>
        <w:rPr>
          <w:rFonts w:ascii="宋体" w:hAnsi="宋体"/>
          <w:szCs w:val="21"/>
        </w:rPr>
        <w:t>1、单价合同。</w:t>
      </w:r>
    </w:p>
    <w:p>
      <w:pPr>
        <w:widowControl/>
        <w:spacing w:line="400" w:lineRule="exact"/>
        <w:ind w:firstLine="420" w:firstLineChars="200"/>
        <w:jc w:val="left"/>
        <w:rPr>
          <w:rFonts w:ascii="宋体" w:hAnsi="宋体"/>
          <w:szCs w:val="21"/>
          <w:u w:val="single"/>
        </w:rPr>
      </w:pPr>
      <w:r>
        <w:rPr>
          <w:rFonts w:ascii="宋体" w:hAnsi="宋体"/>
          <w:szCs w:val="21"/>
        </w:rPr>
        <w:t>综合单价包含的风险范围：</w:t>
      </w:r>
      <w:r>
        <w:rPr>
          <w:rFonts w:hint="eastAsia" w:ascii="宋体" w:hAnsi="宋体"/>
          <w:szCs w:val="21"/>
          <w:u w:val="single"/>
        </w:rPr>
        <w:t xml:space="preserve">  \  </w:t>
      </w:r>
      <w:r>
        <w:rPr>
          <w:rFonts w:ascii="宋体" w:hAnsi="宋体"/>
          <w:szCs w:val="21"/>
        </w:rPr>
        <w:t>。</w:t>
      </w:r>
    </w:p>
    <w:p>
      <w:pPr>
        <w:widowControl/>
        <w:spacing w:line="400" w:lineRule="exact"/>
        <w:ind w:firstLine="420" w:firstLineChars="200"/>
        <w:jc w:val="left"/>
        <w:rPr>
          <w:rFonts w:ascii="宋体" w:hAnsi="宋体"/>
          <w:szCs w:val="21"/>
          <w:u w:val="single"/>
        </w:rPr>
      </w:pPr>
      <w:r>
        <w:rPr>
          <w:rFonts w:ascii="宋体" w:hAnsi="宋体"/>
          <w:szCs w:val="21"/>
        </w:rPr>
        <w:t>风险费用的计算方法：</w:t>
      </w:r>
      <w:r>
        <w:rPr>
          <w:rFonts w:ascii="宋体" w:hAnsi="宋体"/>
          <w:szCs w:val="21"/>
          <w:u w:val="single"/>
        </w:rPr>
        <w:t>\</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风险范围以外合同价格的调整方法：</w:t>
      </w:r>
      <w:r>
        <w:rPr>
          <w:rFonts w:hint="eastAsia" w:ascii="宋体" w:hAnsi="宋体"/>
          <w:szCs w:val="21"/>
          <w:u w:val="single"/>
        </w:rPr>
        <w:t xml:space="preserve">  \  </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2、总价合同。</w:t>
      </w:r>
    </w:p>
    <w:p>
      <w:pPr>
        <w:widowControl/>
        <w:spacing w:line="400" w:lineRule="exact"/>
        <w:ind w:firstLine="420" w:firstLineChars="200"/>
        <w:jc w:val="left"/>
        <w:rPr>
          <w:rFonts w:ascii="宋体" w:hAnsi="宋体"/>
          <w:szCs w:val="21"/>
          <w:u w:val="single"/>
        </w:rPr>
      </w:pPr>
      <w:r>
        <w:rPr>
          <w:rFonts w:ascii="宋体" w:hAnsi="宋体"/>
          <w:szCs w:val="21"/>
        </w:rPr>
        <w:t>总价包含的风险范围：</w:t>
      </w:r>
      <w:r>
        <w:rPr>
          <w:rFonts w:ascii="宋体" w:hAnsi="宋体"/>
          <w:szCs w:val="21"/>
          <w:u w:val="single"/>
        </w:rPr>
        <w:t>\</w:t>
      </w:r>
      <w:r>
        <w:rPr>
          <w:rFonts w:ascii="宋体" w:hAnsi="宋体"/>
          <w:szCs w:val="21"/>
        </w:rPr>
        <w:t>。</w:t>
      </w:r>
    </w:p>
    <w:p>
      <w:pPr>
        <w:widowControl/>
        <w:spacing w:line="400" w:lineRule="exact"/>
        <w:ind w:firstLine="420" w:firstLineChars="200"/>
        <w:jc w:val="left"/>
        <w:rPr>
          <w:rFonts w:ascii="宋体" w:hAnsi="宋体"/>
          <w:szCs w:val="21"/>
          <w:u w:val="single"/>
        </w:rPr>
      </w:pPr>
      <w:r>
        <w:rPr>
          <w:rFonts w:ascii="宋体" w:hAnsi="宋体"/>
          <w:szCs w:val="21"/>
        </w:rPr>
        <w:t>风险费用的计算方法：</w:t>
      </w:r>
      <w:r>
        <w:rPr>
          <w:rFonts w:ascii="宋体" w:hAnsi="宋体"/>
          <w:szCs w:val="21"/>
          <w:u w:val="single"/>
        </w:rPr>
        <w:t>\</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风险范围以外合同价格的调整方法：</w:t>
      </w:r>
      <w:r>
        <w:rPr>
          <w:rFonts w:hint="eastAsia" w:ascii="宋体" w:hAnsi="宋体"/>
          <w:szCs w:val="21"/>
          <w:u w:val="single"/>
        </w:rPr>
        <w:t xml:space="preserve">  \  </w:t>
      </w:r>
      <w:r>
        <w:rPr>
          <w:rFonts w:ascii="宋体" w:hAnsi="宋体"/>
          <w:szCs w:val="21"/>
        </w:rPr>
        <w:t>。</w:t>
      </w:r>
    </w:p>
    <w:p>
      <w:pPr>
        <w:widowControl/>
        <w:spacing w:line="400" w:lineRule="exact"/>
        <w:ind w:firstLine="420" w:firstLineChars="200"/>
        <w:jc w:val="left"/>
        <w:rPr>
          <w:rFonts w:ascii="宋体" w:hAnsi="宋体"/>
          <w:szCs w:val="21"/>
          <w:u w:val="single"/>
        </w:rPr>
      </w:pPr>
      <w:r>
        <w:rPr>
          <w:rFonts w:ascii="宋体" w:hAnsi="宋体"/>
          <w:szCs w:val="21"/>
        </w:rPr>
        <w:t>3、其他价格方式：</w:t>
      </w:r>
      <w:r>
        <w:rPr>
          <w:rFonts w:hint="eastAsia" w:ascii="宋体" w:hAnsi="宋体"/>
          <w:szCs w:val="21"/>
          <w:u w:val="single"/>
        </w:rPr>
        <w:t xml:space="preserve">  \  </w:t>
      </w:r>
      <w:r>
        <w:rPr>
          <w:rFonts w:ascii="宋体" w:hAnsi="宋体"/>
          <w:szCs w:val="21"/>
        </w:rPr>
        <w:t>。</w:t>
      </w:r>
    </w:p>
    <w:p>
      <w:pPr>
        <w:widowControl/>
        <w:spacing w:line="400" w:lineRule="exact"/>
        <w:ind w:firstLine="420" w:firstLineChars="200"/>
        <w:jc w:val="left"/>
        <w:rPr>
          <w:rFonts w:ascii="宋体" w:hAnsi="宋体"/>
          <w:szCs w:val="21"/>
        </w:rPr>
      </w:pPr>
      <w:bookmarkStart w:id="615" w:name="_Toc304295581"/>
      <w:bookmarkStart w:id="616" w:name="_Toc297216213"/>
      <w:bookmarkStart w:id="617" w:name="_Toc312678042"/>
      <w:bookmarkStart w:id="618" w:name="_Toc303539161"/>
      <w:bookmarkStart w:id="619" w:name="_Toc300935004"/>
      <w:bookmarkStart w:id="620" w:name="_Toc297123554"/>
      <w:bookmarkStart w:id="621" w:name="_Toc296347206"/>
      <w:bookmarkStart w:id="622" w:name="_Toc296503207"/>
      <w:bookmarkStart w:id="623" w:name="_Toc296891035"/>
      <w:bookmarkStart w:id="624" w:name="_Toc296891247"/>
      <w:bookmarkStart w:id="625" w:name="_Toc296944546"/>
      <w:bookmarkStart w:id="626" w:name="_Toc297048393"/>
      <w:bookmarkStart w:id="627" w:name="_Toc297120507"/>
      <w:bookmarkStart w:id="628" w:name="_Toc292559412"/>
      <w:bookmarkStart w:id="629" w:name="_Toc292559917"/>
      <w:bookmarkStart w:id="630" w:name="_Toc296346708"/>
      <w:r>
        <w:rPr>
          <w:rFonts w:ascii="宋体" w:hAnsi="宋体"/>
          <w:szCs w:val="21"/>
        </w:rPr>
        <w:t>12.2 预付款</w:t>
      </w:r>
    </w:p>
    <w:bookmarkEnd w:id="615"/>
    <w:bookmarkEnd w:id="616"/>
    <w:bookmarkEnd w:id="617"/>
    <w:bookmarkEnd w:id="618"/>
    <w:bookmarkEnd w:id="619"/>
    <w:bookmarkEnd w:id="620"/>
    <w:p>
      <w:pPr>
        <w:widowControl/>
        <w:spacing w:line="400" w:lineRule="exact"/>
        <w:ind w:firstLine="420" w:firstLineChars="200"/>
        <w:jc w:val="left"/>
        <w:rPr>
          <w:rFonts w:ascii="宋体" w:hAnsi="宋体"/>
          <w:szCs w:val="21"/>
        </w:rPr>
      </w:pPr>
      <w:r>
        <w:rPr>
          <w:rFonts w:ascii="宋体" w:hAnsi="宋体"/>
          <w:szCs w:val="21"/>
        </w:rPr>
        <w:t>12.2.1 预付款的支付</w:t>
      </w:r>
    </w:p>
    <w:p>
      <w:pPr>
        <w:widowControl/>
        <w:spacing w:line="400" w:lineRule="exact"/>
        <w:ind w:firstLine="420" w:firstLineChars="200"/>
        <w:jc w:val="left"/>
        <w:rPr>
          <w:rFonts w:ascii="宋体" w:hAnsi="宋体"/>
          <w:szCs w:val="21"/>
        </w:rPr>
      </w:pPr>
      <w:r>
        <w:rPr>
          <w:rFonts w:ascii="宋体" w:hAnsi="宋体"/>
          <w:szCs w:val="21"/>
        </w:rPr>
        <w:t>预付款支付比例或金额：</w:t>
      </w:r>
      <w:r>
        <w:rPr>
          <w:rFonts w:hint="eastAsia" w:ascii="宋体" w:hAnsi="宋体"/>
          <w:szCs w:val="21"/>
          <w:u w:val="single"/>
        </w:rPr>
        <w:t>本项目不采用</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预付款支付期限：</w:t>
      </w:r>
      <w:r>
        <w:rPr>
          <w:rFonts w:hint="eastAsia" w:ascii="宋体" w:hAnsi="宋体"/>
          <w:szCs w:val="21"/>
          <w:u w:val="single"/>
        </w:rPr>
        <w:t>本项目不采用</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预付款扣回的方式：</w:t>
      </w:r>
      <w:r>
        <w:rPr>
          <w:rFonts w:hint="eastAsia" w:ascii="宋体" w:hAnsi="宋体"/>
          <w:szCs w:val="21"/>
          <w:u w:val="single"/>
        </w:rPr>
        <w:t>本项目不采用</w:t>
      </w:r>
      <w:r>
        <w:rPr>
          <w:rFonts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12.2.2 预付款担保</w:t>
      </w:r>
    </w:p>
    <w:p>
      <w:pPr>
        <w:widowControl/>
        <w:spacing w:line="400" w:lineRule="exact"/>
        <w:ind w:firstLine="420" w:firstLineChars="200"/>
        <w:jc w:val="left"/>
        <w:rPr>
          <w:rFonts w:ascii="宋体" w:hAnsi="宋体"/>
          <w:szCs w:val="21"/>
          <w:u w:val="single"/>
        </w:rPr>
      </w:pPr>
      <w:r>
        <w:rPr>
          <w:rFonts w:ascii="宋体" w:hAnsi="宋体"/>
          <w:szCs w:val="21"/>
        </w:rPr>
        <w:t>承包人提交预付款担保的期限</w:t>
      </w:r>
      <w:r>
        <w:rPr>
          <w:rFonts w:ascii="宋体" w:hAnsi="宋体"/>
          <w:szCs w:val="21"/>
          <w:u w:val="single"/>
        </w:rPr>
        <w:t>：</w:t>
      </w:r>
      <w:r>
        <w:rPr>
          <w:rFonts w:hint="eastAsia" w:ascii="宋体" w:hAnsi="宋体"/>
          <w:szCs w:val="21"/>
          <w:u w:val="single"/>
        </w:rPr>
        <w:t xml:space="preserve">无   </w:t>
      </w:r>
      <w:r>
        <w:rPr>
          <w:rFonts w:ascii="宋体" w:hAnsi="宋体"/>
          <w:szCs w:val="21"/>
        </w:rPr>
        <w:t>。</w:t>
      </w:r>
    </w:p>
    <w:p>
      <w:pPr>
        <w:widowControl/>
        <w:spacing w:line="400" w:lineRule="exact"/>
        <w:ind w:firstLine="420" w:firstLineChars="200"/>
        <w:jc w:val="left"/>
        <w:rPr>
          <w:rFonts w:ascii="宋体" w:hAnsi="宋体"/>
          <w:szCs w:val="21"/>
          <w:u w:val="single"/>
        </w:rPr>
      </w:pPr>
      <w:r>
        <w:rPr>
          <w:rFonts w:ascii="宋体" w:hAnsi="宋体"/>
          <w:szCs w:val="21"/>
        </w:rPr>
        <w:t>预付款担保的形式为：</w:t>
      </w:r>
      <w:r>
        <w:rPr>
          <w:rFonts w:hint="eastAsia" w:ascii="宋体" w:hAnsi="宋体"/>
          <w:szCs w:val="21"/>
          <w:u w:val="single"/>
        </w:rPr>
        <w:t xml:space="preserve"> 无   </w:t>
      </w:r>
      <w:r>
        <w:rPr>
          <w:rFonts w:ascii="宋体" w:hAnsi="宋体"/>
          <w:szCs w:val="21"/>
        </w:rPr>
        <w:t>。</w:t>
      </w:r>
    </w:p>
    <w:bookmarkEnd w:id="621"/>
    <w:bookmarkEnd w:id="622"/>
    <w:bookmarkEnd w:id="623"/>
    <w:bookmarkEnd w:id="624"/>
    <w:bookmarkEnd w:id="625"/>
    <w:bookmarkEnd w:id="626"/>
    <w:bookmarkEnd w:id="627"/>
    <w:bookmarkEnd w:id="628"/>
    <w:bookmarkEnd w:id="629"/>
    <w:bookmarkEnd w:id="630"/>
    <w:p>
      <w:pPr>
        <w:widowControl/>
        <w:spacing w:line="400" w:lineRule="exact"/>
        <w:ind w:firstLine="420" w:firstLineChars="200"/>
        <w:jc w:val="left"/>
        <w:rPr>
          <w:rFonts w:ascii="宋体" w:hAnsi="宋体"/>
          <w:szCs w:val="21"/>
        </w:rPr>
      </w:pPr>
      <w:r>
        <w:rPr>
          <w:rFonts w:ascii="宋体" w:hAnsi="宋体"/>
          <w:szCs w:val="21"/>
        </w:rPr>
        <w:t>12.3 计量</w:t>
      </w:r>
    </w:p>
    <w:p>
      <w:pPr>
        <w:widowControl/>
        <w:spacing w:line="400" w:lineRule="exact"/>
        <w:ind w:firstLine="420" w:firstLineChars="200"/>
        <w:jc w:val="left"/>
        <w:rPr>
          <w:rFonts w:ascii="宋体" w:hAnsi="宋体"/>
          <w:szCs w:val="21"/>
        </w:rPr>
      </w:pPr>
      <w:r>
        <w:rPr>
          <w:rFonts w:ascii="宋体" w:hAnsi="宋体"/>
          <w:szCs w:val="21"/>
        </w:rPr>
        <w:t>12.3.1 计量原则</w:t>
      </w:r>
    </w:p>
    <w:p>
      <w:pPr>
        <w:widowControl/>
        <w:adjustRightInd w:val="0"/>
        <w:snapToGrid w:val="0"/>
        <w:spacing w:line="400" w:lineRule="exact"/>
        <w:ind w:firstLine="420" w:firstLineChars="200"/>
        <w:jc w:val="left"/>
        <w:rPr>
          <w:rFonts w:ascii="宋体" w:hAnsi="宋体"/>
          <w:szCs w:val="21"/>
        </w:rPr>
      </w:pPr>
      <w:r>
        <w:rPr>
          <w:rFonts w:hint="eastAsia" w:ascii="宋体" w:hAnsi="宋体" w:cs="宋体"/>
          <w:szCs w:val="21"/>
        </w:rPr>
        <w:t>按《建设工程工程量清单计价规范》（</w:t>
      </w:r>
      <w:r>
        <w:rPr>
          <w:rFonts w:ascii="宋体" w:hAnsi="宋体" w:cs="宋体"/>
          <w:szCs w:val="21"/>
        </w:rPr>
        <w:t>GB50500-2013</w:t>
      </w:r>
      <w:r>
        <w:rPr>
          <w:rFonts w:hint="eastAsia" w:ascii="宋体" w:hAnsi="宋体" w:cs="宋体"/>
          <w:szCs w:val="21"/>
        </w:rPr>
        <w:t>）、《重庆市建设工程工程量清单计价规则》（</w:t>
      </w:r>
      <w:r>
        <w:rPr>
          <w:rFonts w:ascii="宋体" w:hAnsi="宋体" w:cs="宋体"/>
          <w:szCs w:val="21"/>
        </w:rPr>
        <w:t>CQ</w:t>
      </w:r>
      <w:r>
        <w:rPr>
          <w:rFonts w:hint="eastAsia" w:ascii="宋体" w:hAnsi="宋体" w:cs="宋体"/>
          <w:szCs w:val="21"/>
        </w:rPr>
        <w:t>JJ</w:t>
      </w:r>
      <w:r>
        <w:rPr>
          <w:rFonts w:ascii="宋体" w:hAnsi="宋体" w:cs="宋体"/>
          <w:szCs w:val="21"/>
        </w:rPr>
        <w:t>GZ-2013</w:t>
      </w:r>
      <w:r>
        <w:rPr>
          <w:rFonts w:hint="eastAsia" w:ascii="宋体" w:hAnsi="宋体" w:cs="宋体"/>
          <w:szCs w:val="21"/>
        </w:rPr>
        <w:t>）、《重庆市建设工程工程量计算规则》（</w:t>
      </w:r>
      <w:r>
        <w:rPr>
          <w:rFonts w:ascii="宋体" w:hAnsi="宋体" w:cs="宋体"/>
          <w:szCs w:val="21"/>
        </w:rPr>
        <w:t>CQJLGZ-2013</w:t>
      </w:r>
      <w:r>
        <w:rPr>
          <w:rFonts w:hint="eastAsia" w:ascii="宋体" w:hAnsi="宋体" w:cs="宋体"/>
          <w:szCs w:val="21"/>
        </w:rPr>
        <w:t>）计量。</w:t>
      </w:r>
    </w:p>
    <w:p>
      <w:pPr>
        <w:widowControl/>
        <w:spacing w:line="400" w:lineRule="exact"/>
        <w:ind w:firstLine="420" w:firstLineChars="200"/>
        <w:jc w:val="left"/>
        <w:rPr>
          <w:rFonts w:ascii="宋体" w:hAnsi="宋体"/>
          <w:szCs w:val="21"/>
        </w:rPr>
      </w:pPr>
      <w:r>
        <w:rPr>
          <w:rFonts w:ascii="宋体" w:hAnsi="宋体"/>
          <w:szCs w:val="21"/>
        </w:rPr>
        <w:t>12.3.2 计量周期</w:t>
      </w:r>
    </w:p>
    <w:p>
      <w:pPr>
        <w:widowControl/>
        <w:spacing w:line="400" w:lineRule="exact"/>
        <w:ind w:firstLine="420" w:firstLineChars="200"/>
        <w:jc w:val="left"/>
        <w:rPr>
          <w:rFonts w:ascii="宋体" w:hAnsi="宋体"/>
          <w:szCs w:val="21"/>
        </w:rPr>
      </w:pPr>
      <w:r>
        <w:rPr>
          <w:rFonts w:ascii="宋体" w:hAnsi="宋体"/>
          <w:szCs w:val="21"/>
        </w:rPr>
        <w:t>关于计量周期的约定：</w:t>
      </w:r>
      <w:r>
        <w:rPr>
          <w:rFonts w:hint="eastAsia" w:ascii="宋体" w:hAnsi="宋体"/>
          <w:szCs w:val="21"/>
          <w:u w:val="single"/>
        </w:rPr>
        <w:t>单价子目按月计量。</w:t>
      </w:r>
    </w:p>
    <w:p>
      <w:pPr>
        <w:widowControl/>
        <w:spacing w:line="400" w:lineRule="exact"/>
        <w:ind w:firstLine="420" w:firstLineChars="200"/>
        <w:jc w:val="left"/>
        <w:rPr>
          <w:rFonts w:ascii="宋体" w:hAnsi="宋体"/>
          <w:szCs w:val="21"/>
        </w:rPr>
      </w:pPr>
      <w:r>
        <w:rPr>
          <w:rFonts w:ascii="宋体" w:hAnsi="宋体"/>
          <w:szCs w:val="21"/>
        </w:rPr>
        <w:t>12.4 工程进度款支付</w:t>
      </w:r>
    </w:p>
    <w:bookmarkEnd w:id="529"/>
    <w:p>
      <w:pPr>
        <w:widowControl/>
        <w:adjustRightInd w:val="0"/>
        <w:snapToGrid w:val="0"/>
        <w:spacing w:line="400" w:lineRule="exact"/>
        <w:ind w:firstLine="420" w:firstLineChars="200"/>
        <w:jc w:val="left"/>
        <w:rPr>
          <w:rFonts w:ascii="宋体" w:hAnsi="宋体"/>
          <w:szCs w:val="21"/>
        </w:rPr>
      </w:pPr>
      <w:bookmarkStart w:id="631" w:name="_Toc351203645"/>
      <w:bookmarkStart w:id="632" w:name="_Toc297048405"/>
      <w:bookmarkStart w:id="633" w:name="_Toc296891259"/>
      <w:bookmarkStart w:id="634" w:name="_Toc296891047"/>
      <w:bookmarkStart w:id="635" w:name="_Toc296944558"/>
      <w:bookmarkStart w:id="636" w:name="_Toc296503219"/>
      <w:bookmarkStart w:id="637" w:name="_Toc296346720"/>
      <w:bookmarkStart w:id="638" w:name="_Toc296347218"/>
      <w:bookmarkStart w:id="639" w:name="_Toc292559424"/>
      <w:bookmarkStart w:id="640" w:name="_Toc292559929"/>
      <w:bookmarkStart w:id="641" w:name="_Toc297120519"/>
      <w:bookmarkStart w:id="642" w:name="_Toc300935015"/>
      <w:bookmarkStart w:id="643" w:name="_Toc304295593"/>
      <w:bookmarkStart w:id="644" w:name="_Toc297123564"/>
      <w:bookmarkStart w:id="645" w:name="_Toc297216223"/>
      <w:bookmarkStart w:id="646" w:name="_Toc312678053"/>
      <w:bookmarkStart w:id="647" w:name="_Toc303539172"/>
      <w:r>
        <w:rPr>
          <w:rFonts w:hint="eastAsia" w:ascii="宋体" w:hAnsi="宋体"/>
          <w:szCs w:val="21"/>
        </w:rPr>
        <w:t>12.4.2进度付款申请单</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　　进度付款申请单的份数：</w:t>
      </w:r>
      <w:r>
        <w:rPr>
          <w:rFonts w:hint="eastAsia" w:ascii="宋体" w:hAnsi="宋体"/>
          <w:szCs w:val="21"/>
          <w:u w:val="single"/>
        </w:rPr>
        <w:t>四份</w:t>
      </w:r>
      <w:r>
        <w:rPr>
          <w:rFonts w:hint="eastAsia" w:ascii="宋体" w:hAnsi="宋体"/>
          <w:szCs w:val="21"/>
        </w:rPr>
        <w:t>。</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　　进度付款申请单的内容：按发包人提供的进度付款申请单内容填写。</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12.4.4进度付款审核和支付时间</w:t>
      </w:r>
    </w:p>
    <w:p>
      <w:pPr>
        <w:widowControl/>
        <w:spacing w:line="400" w:lineRule="exact"/>
        <w:ind w:firstLine="420" w:firstLineChars="200"/>
        <w:jc w:val="left"/>
        <w:rPr>
          <w:rFonts w:ascii="宋体" w:hAnsi="宋体"/>
          <w:szCs w:val="21"/>
        </w:rPr>
      </w:pPr>
      <w:r>
        <w:rPr>
          <w:rFonts w:hint="eastAsia" w:ascii="宋体" w:hAnsi="宋体"/>
          <w:szCs w:val="21"/>
        </w:rPr>
        <w:t>12.4.4.1安全文明施工费：</w:t>
      </w:r>
      <w:r>
        <w:rPr>
          <w:rFonts w:ascii="宋体" w:hAnsi="宋体"/>
          <w:szCs w:val="21"/>
        </w:rPr>
        <w:t xml:space="preserve"> 关于安全文明施工费支付比例和支付期限的约定：</w:t>
      </w:r>
      <w:r>
        <w:rPr>
          <w:rFonts w:hint="eastAsia" w:ascii="宋体" w:hAnsi="宋体"/>
          <w:szCs w:val="21"/>
        </w:rPr>
        <w:t>发包人应于签订施工合同后至工程开工前向承包人支付安全文明施工费的50%；余下安全文明施工费按施工进度支付，</w:t>
      </w:r>
      <w:r>
        <w:rPr>
          <w:rFonts w:hint="eastAsia"/>
          <w:szCs w:val="21"/>
        </w:rPr>
        <w:t>支付比例及时限同施工进度款相关约定。</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pPr>
        <w:widowControl/>
        <w:adjustRightInd w:val="0"/>
        <w:snapToGrid w:val="0"/>
        <w:spacing w:line="400" w:lineRule="exact"/>
        <w:jc w:val="left"/>
        <w:rPr>
          <w:rFonts w:ascii="宋体" w:hAnsi="宋体"/>
          <w:szCs w:val="21"/>
        </w:rPr>
      </w:pPr>
      <w:r>
        <w:rPr>
          <w:rFonts w:hint="eastAsia" w:ascii="宋体" w:hAnsi="宋体"/>
          <w:szCs w:val="21"/>
        </w:rPr>
        <w:t>12.4.4.3工程进度款</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12.4.4.3</w:t>
      </w:r>
      <w:r>
        <w:rPr>
          <w:rFonts w:hint="eastAsia" w:ascii="宋体" w:hAnsi="宋体"/>
          <w:kern w:val="0"/>
          <w:szCs w:val="21"/>
        </w:rPr>
        <w:t>.1市政（房建）进度款支付方式：</w:t>
      </w:r>
    </w:p>
    <w:p>
      <w:pPr>
        <w:widowControl/>
        <w:adjustRightInd w:val="0"/>
        <w:snapToGrid w:val="0"/>
        <w:spacing w:line="400" w:lineRule="exact"/>
        <w:ind w:firstLine="420" w:firstLineChars="200"/>
        <w:jc w:val="left"/>
        <w:rPr>
          <w:rFonts w:ascii="宋体" w:hAnsi="宋体"/>
          <w:kern w:val="0"/>
          <w:szCs w:val="21"/>
        </w:rPr>
      </w:pPr>
      <w:r>
        <w:rPr>
          <w:rFonts w:hint="eastAsia" w:ascii="宋体" w:hAnsi="宋体"/>
          <w:kern w:val="0"/>
          <w:szCs w:val="21"/>
        </w:rPr>
        <w:t>承包人按规定时间报送进度报表、</w:t>
      </w:r>
      <w:r>
        <w:rPr>
          <w:rFonts w:hint="eastAsia" w:hAnsi="宋体"/>
          <w:szCs w:val="21"/>
        </w:rPr>
        <w:t>上个月农民工工资支付表（表格附后）、</w:t>
      </w:r>
      <w:r>
        <w:rPr>
          <w:rFonts w:hint="eastAsia" w:ascii="宋体" w:hAnsi="宋体"/>
          <w:kern w:val="0"/>
          <w:szCs w:val="21"/>
        </w:rPr>
        <w:t>进度付款申请单等相关资料，经监理人审查，报发包人审批后，按当月产值（含措施费、规费）的70%作为进度款支付（必须将工程价款的人工费（工资款）与其他工程款相分离、发包人拨付人工费</w:t>
      </w:r>
      <w:r>
        <w:rPr>
          <w:rFonts w:ascii="宋体" w:hAnsi="宋体"/>
          <w:kern w:val="0"/>
          <w:szCs w:val="21"/>
        </w:rPr>
        <w:t>(工资款)比例不低于当月产值的25%，若人工费数额大于当月已完工产值的25%时，按实际人工费数额拨付 ，并将人工费单独拨付至乙方的工资专用账户。）</w:t>
      </w:r>
      <w:r>
        <w:rPr>
          <w:rFonts w:hint="eastAsia" w:ascii="宋体" w:hAnsi="宋体"/>
          <w:kern w:val="0"/>
          <w:szCs w:val="21"/>
        </w:rPr>
        <w:t>，发包人于审定后14个日历天内支付承包人。设计变更及增加的工作内容引起价款增加且双方无争议的，在变更令发出后，增加的价款仍按70%进度款支付。</w:t>
      </w:r>
    </w:p>
    <w:p>
      <w:pPr>
        <w:widowControl/>
        <w:adjustRightInd w:val="0"/>
        <w:snapToGrid w:val="0"/>
        <w:spacing w:line="400" w:lineRule="exact"/>
        <w:ind w:firstLine="420" w:firstLineChars="200"/>
        <w:jc w:val="left"/>
        <w:rPr>
          <w:rFonts w:ascii="宋体" w:hAnsi="宋体"/>
          <w:kern w:val="0"/>
          <w:szCs w:val="21"/>
        </w:rPr>
      </w:pPr>
      <w:r>
        <w:rPr>
          <w:rFonts w:hint="eastAsia" w:ascii="宋体" w:hAnsi="宋体"/>
          <w:kern w:val="0"/>
          <w:szCs w:val="21"/>
        </w:rPr>
        <w:t>竣（完）工验收合格，完成档案资料移交并经发包人确认后支付至已完工程（含已确认费用的工程变更）的80%。</w:t>
      </w:r>
    </w:p>
    <w:p>
      <w:pPr>
        <w:widowControl/>
        <w:autoSpaceDE w:val="0"/>
        <w:autoSpaceDN w:val="0"/>
        <w:adjustRightInd w:val="0"/>
        <w:spacing w:before="16"/>
        <w:ind w:firstLine="315" w:firstLineChars="150"/>
        <w:jc w:val="left"/>
        <w:outlineLvl w:val="2"/>
        <w:rPr>
          <w:rFonts w:ascii="宋体" w:hAnsi="宋体"/>
          <w:kern w:val="0"/>
          <w:szCs w:val="21"/>
        </w:rPr>
      </w:pPr>
      <w:r>
        <w:rPr>
          <w:rFonts w:hint="eastAsia" w:ascii="宋体" w:hAnsi="宋体"/>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kern w:val="0"/>
          <w:szCs w:val="21"/>
        </w:rPr>
        <w:t>，则承包人应在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kern w:val="0"/>
          <w:szCs w:val="21"/>
        </w:rPr>
        <w:t>7</w:t>
      </w:r>
      <w:r>
        <w:rPr>
          <w:rFonts w:hint="eastAsia" w:ascii="宋体" w:hAnsi="宋体"/>
          <w:kern w:val="0"/>
          <w:szCs w:val="21"/>
        </w:rPr>
        <w:t>%，留审计报告审定金额的</w:t>
      </w:r>
      <w:r>
        <w:rPr>
          <w:rFonts w:ascii="宋体" w:hAnsi="宋体"/>
          <w:kern w:val="0"/>
          <w:szCs w:val="21"/>
        </w:rPr>
        <w:t>3</w:t>
      </w:r>
      <w:r>
        <w:rPr>
          <w:rFonts w:hint="eastAsia" w:ascii="宋体" w:hAnsi="宋体"/>
          <w:kern w:val="0"/>
          <w:szCs w:val="21"/>
        </w:rPr>
        <w:t>%作质保金，若前期</w:t>
      </w:r>
      <w:r>
        <w:rPr>
          <w:rFonts w:ascii="宋体" w:hAnsi="宋体"/>
          <w:kern w:val="0"/>
          <w:szCs w:val="21"/>
        </w:rPr>
        <w:t>已支付金额出现超额，则承包人应在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。若</w:t>
      </w:r>
      <w:r>
        <w:rPr>
          <w:rFonts w:ascii="宋体" w:hAnsi="宋体"/>
          <w:kern w:val="0"/>
          <w:szCs w:val="21"/>
        </w:rPr>
        <w:t>项目被</w:t>
      </w:r>
      <w:r>
        <w:rPr>
          <w:rFonts w:hint="eastAsia" w:ascii="宋体" w:hAnsi="宋体"/>
          <w:kern w:val="0"/>
          <w:szCs w:val="21"/>
        </w:rPr>
        <w:t>抽取</w:t>
      </w:r>
      <w:r>
        <w:rPr>
          <w:rFonts w:ascii="宋体" w:hAnsi="宋体"/>
          <w:kern w:val="0"/>
          <w:szCs w:val="21"/>
        </w:rPr>
        <w:t>为国家</w:t>
      </w:r>
      <w:r>
        <w:rPr>
          <w:rFonts w:hint="eastAsia" w:ascii="宋体" w:hAnsi="宋体"/>
          <w:kern w:val="0"/>
          <w:szCs w:val="21"/>
        </w:rPr>
        <w:t>级行政审计机关审计项目,承包人</w:t>
      </w:r>
      <w:r>
        <w:rPr>
          <w:rFonts w:ascii="宋体" w:hAnsi="宋体"/>
          <w:kern w:val="0"/>
          <w:szCs w:val="21"/>
        </w:rPr>
        <w:t>须</w:t>
      </w:r>
      <w:r>
        <w:rPr>
          <w:rFonts w:hint="eastAsia" w:ascii="宋体" w:hAnsi="宋体"/>
          <w:kern w:val="0"/>
          <w:szCs w:val="21"/>
        </w:rPr>
        <w:t>全力</w:t>
      </w:r>
      <w:r>
        <w:rPr>
          <w:rFonts w:ascii="宋体" w:hAnsi="宋体"/>
          <w:kern w:val="0"/>
          <w:szCs w:val="21"/>
        </w:rPr>
        <w:t>配合审计</w:t>
      </w:r>
      <w:r>
        <w:rPr>
          <w:rFonts w:hint="eastAsia" w:ascii="宋体" w:hAnsi="宋体"/>
          <w:kern w:val="0"/>
          <w:szCs w:val="21"/>
        </w:rPr>
        <w:t>工作</w:t>
      </w:r>
      <w:r>
        <w:rPr>
          <w:rFonts w:ascii="宋体" w:hAnsi="宋体"/>
          <w:kern w:val="0"/>
          <w:szCs w:val="21"/>
        </w:rPr>
        <w:t>，</w:t>
      </w:r>
      <w:r>
        <w:rPr>
          <w:rFonts w:hint="eastAsia" w:ascii="宋体" w:hAnsi="宋体"/>
          <w:kern w:val="0"/>
          <w:szCs w:val="21"/>
        </w:rPr>
        <w:t>根据</w:t>
      </w:r>
      <w:r>
        <w:rPr>
          <w:rFonts w:ascii="宋体" w:hAnsi="宋体"/>
          <w:kern w:val="0"/>
          <w:szCs w:val="21"/>
        </w:rPr>
        <w:t>国家级行政审计机关的审计结果，</w:t>
      </w:r>
      <w:r>
        <w:rPr>
          <w:rFonts w:hint="eastAsia" w:ascii="宋体" w:hAnsi="宋体"/>
          <w:kern w:val="0"/>
          <w:szCs w:val="21"/>
        </w:rPr>
        <w:t>若前期</w:t>
      </w:r>
      <w:r>
        <w:rPr>
          <w:rFonts w:ascii="宋体" w:hAnsi="宋体"/>
          <w:kern w:val="0"/>
          <w:szCs w:val="21"/>
        </w:rPr>
        <w:t>已支付金额出现超额，则承包人应在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上述</w:t>
      </w:r>
      <w:r>
        <w:rPr>
          <w:rFonts w:hint="eastAsia" w:ascii="宋体" w:hAnsi="宋体"/>
          <w:szCs w:val="21"/>
        </w:rPr>
        <w:t>利息以应退还金额为基数，自发包人要求退款之日起按全国银行间同业拆借中心公布的同期贷款市场报价利率（一年期）计算利息至付清之日。</w:t>
      </w:r>
      <w:r>
        <w:rPr>
          <w:rFonts w:hint="eastAsia" w:ascii="宋体" w:hAnsi="宋体"/>
          <w:kern w:val="0"/>
          <w:szCs w:val="21"/>
        </w:rPr>
        <w:t>承包人逾期返还的，除返还款项外，还应按应返还金额为基数，按每天万分之五支付违约金至付清之日。</w:t>
      </w:r>
    </w:p>
    <w:p>
      <w:pPr>
        <w:widowControl/>
        <w:adjustRightInd w:val="0"/>
        <w:snapToGrid w:val="0"/>
        <w:spacing w:line="400" w:lineRule="exact"/>
        <w:ind w:firstLine="525" w:firstLineChars="250"/>
        <w:jc w:val="left"/>
        <w:rPr>
          <w:rFonts w:ascii="宋体" w:hAnsi="宋体"/>
          <w:kern w:val="0"/>
          <w:szCs w:val="21"/>
        </w:rPr>
      </w:pPr>
      <w:r>
        <w:rPr>
          <w:rFonts w:hint="eastAsia" w:ascii="宋体" w:hAnsi="宋体"/>
          <w:szCs w:val="21"/>
        </w:rPr>
        <w:t>12.4.4.3</w:t>
      </w:r>
      <w:r>
        <w:rPr>
          <w:rFonts w:hint="eastAsia" w:ascii="宋体" w:hAnsi="宋体"/>
          <w:kern w:val="0"/>
          <w:szCs w:val="21"/>
        </w:rPr>
        <w:t>.2</w:t>
      </w:r>
      <w:r>
        <w:rPr>
          <w:rFonts w:hint="eastAsia" w:ascii="宋体" w:hAnsi="宋体"/>
          <w:szCs w:val="21"/>
        </w:rPr>
        <w:t xml:space="preserve">绿化进度款支付方式： </w:t>
      </w:r>
    </w:p>
    <w:p>
      <w:pPr>
        <w:widowControl/>
        <w:adjustRightInd w:val="0"/>
        <w:snapToGrid w:val="0"/>
        <w:spacing w:line="400" w:lineRule="exact"/>
        <w:ind w:firstLine="525" w:firstLineChars="250"/>
        <w:jc w:val="left"/>
        <w:rPr>
          <w:rFonts w:ascii="宋体" w:hAnsi="宋体"/>
          <w:szCs w:val="21"/>
        </w:rPr>
      </w:pPr>
      <w:r>
        <w:rPr>
          <w:rFonts w:hint="eastAsia" w:ascii="宋体" w:hAnsi="宋体"/>
          <w:szCs w:val="21"/>
        </w:rPr>
        <w:t>承包人按规定时间报送进度报表、</w:t>
      </w:r>
      <w:r>
        <w:rPr>
          <w:rFonts w:hint="eastAsia" w:hAnsi="宋体"/>
          <w:szCs w:val="21"/>
        </w:rPr>
        <w:t>上个月农民工工资支付表（表格附后）、</w:t>
      </w:r>
      <w:r>
        <w:rPr>
          <w:rFonts w:hint="eastAsia" w:ascii="宋体" w:hAnsi="宋体"/>
          <w:kern w:val="0"/>
          <w:szCs w:val="21"/>
        </w:rPr>
        <w:t>进度付款申请单等相关资料，</w:t>
      </w:r>
      <w:r>
        <w:rPr>
          <w:rFonts w:hint="eastAsia" w:ascii="宋体" w:hAnsi="宋体"/>
          <w:szCs w:val="21"/>
        </w:rPr>
        <w:t>经监理人审查，报发包人审批</w:t>
      </w:r>
      <w:r>
        <w:rPr>
          <w:rFonts w:hint="eastAsia" w:ascii="宋体" w:hAnsi="宋体"/>
          <w:kern w:val="0"/>
          <w:szCs w:val="21"/>
        </w:rPr>
        <w:t>后</w:t>
      </w:r>
      <w:r>
        <w:rPr>
          <w:rFonts w:hint="eastAsia" w:ascii="宋体" w:hAnsi="宋体"/>
          <w:szCs w:val="21"/>
        </w:rPr>
        <w:t>，</w:t>
      </w:r>
      <w:r>
        <w:rPr>
          <w:rFonts w:hint="eastAsia" w:ascii="宋体" w:hAnsi="宋体"/>
          <w:kern w:val="0"/>
          <w:szCs w:val="21"/>
        </w:rPr>
        <w:t>按当月产值（含措施费、规费）的</w:t>
      </w:r>
      <w:r>
        <w:rPr>
          <w:rFonts w:ascii="宋体" w:hAnsi="宋体"/>
          <w:kern w:val="0"/>
          <w:szCs w:val="21"/>
        </w:rPr>
        <w:t>6</w:t>
      </w:r>
      <w:r>
        <w:rPr>
          <w:rFonts w:hint="eastAsia" w:ascii="宋体" w:hAnsi="宋体"/>
          <w:kern w:val="0"/>
          <w:szCs w:val="21"/>
        </w:rPr>
        <w:t>0%作为进度款支付，发包人于审定后14个日历天内支付承包人。设计变更及增加的工作内容引起价款增加且双方无争议的，在变更令发出后，增加的价款仍按</w:t>
      </w:r>
      <w:r>
        <w:rPr>
          <w:rFonts w:ascii="宋体" w:hAnsi="宋体"/>
          <w:kern w:val="0"/>
          <w:szCs w:val="21"/>
        </w:rPr>
        <w:t>6</w:t>
      </w:r>
      <w:r>
        <w:rPr>
          <w:rFonts w:hint="eastAsia" w:ascii="宋体" w:hAnsi="宋体"/>
          <w:kern w:val="0"/>
          <w:szCs w:val="21"/>
        </w:rPr>
        <w:t>0%进度款支付</w:t>
      </w:r>
      <w:r>
        <w:rPr>
          <w:rFonts w:hint="eastAsia" w:ascii="宋体" w:hAnsi="宋体"/>
          <w:szCs w:val="21"/>
        </w:rPr>
        <w:t>。</w:t>
      </w:r>
    </w:p>
    <w:p>
      <w:pPr>
        <w:widowControl/>
        <w:adjustRightInd w:val="0"/>
        <w:snapToGrid w:val="0"/>
        <w:spacing w:line="400" w:lineRule="exact"/>
        <w:ind w:firstLine="525" w:firstLineChars="250"/>
        <w:jc w:val="left"/>
        <w:rPr>
          <w:rFonts w:ascii="宋体" w:hAnsi="宋体"/>
          <w:szCs w:val="21"/>
        </w:rPr>
      </w:pPr>
      <w:r>
        <w:rPr>
          <w:rFonts w:hint="eastAsia" w:ascii="宋体" w:hAnsi="宋体"/>
          <w:kern w:val="0"/>
          <w:szCs w:val="21"/>
        </w:rPr>
        <w:t>竣（完）工验收合格，完成档案资料移交并经发包人确认后支付至已完工程（含已审定费用的工程变更）的</w:t>
      </w:r>
      <w:r>
        <w:rPr>
          <w:rFonts w:ascii="宋体" w:hAnsi="宋体"/>
          <w:kern w:val="0"/>
          <w:szCs w:val="21"/>
        </w:rPr>
        <w:t>65</w:t>
      </w:r>
      <w:r>
        <w:rPr>
          <w:rFonts w:hint="eastAsia" w:ascii="宋体" w:hAnsi="宋体"/>
          <w:kern w:val="0"/>
          <w:szCs w:val="21"/>
        </w:rPr>
        <w:t>%。</w:t>
      </w:r>
    </w:p>
    <w:p>
      <w:pPr>
        <w:widowControl/>
        <w:autoSpaceDE w:val="0"/>
        <w:autoSpaceDN w:val="0"/>
        <w:adjustRightInd w:val="0"/>
        <w:spacing w:before="16"/>
        <w:ind w:firstLine="315" w:firstLineChars="150"/>
        <w:jc w:val="left"/>
        <w:outlineLvl w:val="2"/>
        <w:rPr>
          <w:rFonts w:ascii="宋体" w:hAnsi="宋体"/>
          <w:kern w:val="0"/>
          <w:szCs w:val="21"/>
        </w:rPr>
      </w:pPr>
      <w:r>
        <w:rPr>
          <w:rFonts w:hint="eastAsia" w:ascii="宋体" w:hAnsi="宋体"/>
          <w:kern w:val="0"/>
          <w:szCs w:val="21"/>
        </w:rPr>
        <w:t>承包人在规定的期限提交合格、完整的结算资料，发包人委托造价咨询机构出具结算审核报告后，付至造价咨询咨询机构出具的结算审核报告金额的</w:t>
      </w:r>
      <w:r>
        <w:rPr>
          <w:rFonts w:ascii="宋体" w:hAnsi="宋体"/>
          <w:kern w:val="0"/>
          <w:szCs w:val="21"/>
        </w:rPr>
        <w:t>7</w:t>
      </w:r>
      <w:r>
        <w:rPr>
          <w:rFonts w:hint="eastAsia" w:ascii="宋体" w:hAnsi="宋体"/>
          <w:kern w:val="0"/>
          <w:szCs w:val="21"/>
        </w:rPr>
        <w:t>5%，若前期已超额支付</w:t>
      </w:r>
      <w:r>
        <w:rPr>
          <w:rFonts w:ascii="宋体" w:hAnsi="宋体"/>
          <w:kern w:val="0"/>
          <w:szCs w:val="21"/>
        </w:rPr>
        <w:t>，则承包人应在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kern w:val="0"/>
          <w:szCs w:val="21"/>
        </w:rPr>
        <w:t>7</w:t>
      </w:r>
      <w:r>
        <w:rPr>
          <w:rFonts w:hint="eastAsia" w:ascii="宋体" w:hAnsi="宋体"/>
          <w:kern w:val="0"/>
          <w:szCs w:val="21"/>
        </w:rPr>
        <w:t>%，留审计报告审定金额的</w:t>
      </w:r>
      <w:r>
        <w:rPr>
          <w:rFonts w:ascii="宋体" w:hAnsi="宋体"/>
          <w:kern w:val="0"/>
          <w:szCs w:val="21"/>
        </w:rPr>
        <w:t>3</w:t>
      </w:r>
      <w:r>
        <w:rPr>
          <w:rFonts w:hint="eastAsia" w:ascii="宋体" w:hAnsi="宋体"/>
          <w:kern w:val="0"/>
          <w:szCs w:val="21"/>
        </w:rPr>
        <w:t>%作质保金，若前期</w:t>
      </w:r>
      <w:r>
        <w:rPr>
          <w:rFonts w:ascii="宋体" w:hAnsi="宋体"/>
          <w:kern w:val="0"/>
          <w:szCs w:val="21"/>
        </w:rPr>
        <w:t>已支付金额出现超额，则承包人应在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r>
        <w:rPr>
          <w:rFonts w:hint="eastAsia" w:ascii="宋体" w:hAnsi="宋体"/>
          <w:kern w:val="0"/>
          <w:szCs w:val="21"/>
        </w:rPr>
        <w:t>。若</w:t>
      </w:r>
      <w:r>
        <w:rPr>
          <w:rFonts w:ascii="宋体" w:hAnsi="宋体"/>
          <w:kern w:val="0"/>
          <w:szCs w:val="21"/>
        </w:rPr>
        <w:t>项目被</w:t>
      </w:r>
      <w:r>
        <w:rPr>
          <w:rFonts w:hint="eastAsia" w:ascii="宋体" w:hAnsi="宋体"/>
          <w:kern w:val="0"/>
          <w:szCs w:val="21"/>
        </w:rPr>
        <w:t>抽取</w:t>
      </w:r>
      <w:r>
        <w:rPr>
          <w:rFonts w:ascii="宋体" w:hAnsi="宋体"/>
          <w:kern w:val="0"/>
          <w:szCs w:val="21"/>
        </w:rPr>
        <w:t>为国家</w:t>
      </w:r>
      <w:r>
        <w:rPr>
          <w:rFonts w:hint="eastAsia" w:ascii="宋体" w:hAnsi="宋体"/>
          <w:kern w:val="0"/>
          <w:szCs w:val="21"/>
        </w:rPr>
        <w:t>级行政审计机关审计项目,承包人</w:t>
      </w:r>
      <w:r>
        <w:rPr>
          <w:rFonts w:ascii="宋体" w:hAnsi="宋体"/>
          <w:kern w:val="0"/>
          <w:szCs w:val="21"/>
        </w:rPr>
        <w:t>须</w:t>
      </w:r>
      <w:r>
        <w:rPr>
          <w:rFonts w:hint="eastAsia" w:ascii="宋体" w:hAnsi="宋体"/>
          <w:kern w:val="0"/>
          <w:szCs w:val="21"/>
        </w:rPr>
        <w:t>全力</w:t>
      </w:r>
      <w:r>
        <w:rPr>
          <w:rFonts w:ascii="宋体" w:hAnsi="宋体"/>
          <w:kern w:val="0"/>
          <w:szCs w:val="21"/>
        </w:rPr>
        <w:t>配合审计</w:t>
      </w:r>
      <w:r>
        <w:rPr>
          <w:rFonts w:hint="eastAsia" w:ascii="宋体" w:hAnsi="宋体"/>
          <w:kern w:val="0"/>
          <w:szCs w:val="21"/>
        </w:rPr>
        <w:t>工作</w:t>
      </w:r>
      <w:r>
        <w:rPr>
          <w:rFonts w:ascii="宋体" w:hAnsi="宋体"/>
          <w:kern w:val="0"/>
          <w:szCs w:val="21"/>
        </w:rPr>
        <w:t>，</w:t>
      </w:r>
      <w:r>
        <w:rPr>
          <w:rFonts w:hint="eastAsia" w:ascii="宋体" w:hAnsi="宋体"/>
          <w:kern w:val="0"/>
          <w:szCs w:val="21"/>
        </w:rPr>
        <w:t>根据</w:t>
      </w:r>
      <w:r>
        <w:rPr>
          <w:rFonts w:ascii="宋体" w:hAnsi="宋体"/>
          <w:kern w:val="0"/>
          <w:szCs w:val="21"/>
        </w:rPr>
        <w:t>国家级行政审计机关的审计结果，</w:t>
      </w:r>
      <w:r>
        <w:rPr>
          <w:rFonts w:hint="eastAsia" w:ascii="宋体" w:hAnsi="宋体"/>
          <w:kern w:val="0"/>
          <w:szCs w:val="21"/>
        </w:rPr>
        <w:t>若前期</w:t>
      </w:r>
      <w:r>
        <w:rPr>
          <w:rFonts w:ascii="宋体" w:hAnsi="宋体"/>
          <w:kern w:val="0"/>
          <w:szCs w:val="21"/>
        </w:rPr>
        <w:t>已支付金额出现超额，则承包人应在</w:t>
      </w:r>
      <w:r>
        <w:rPr>
          <w:rFonts w:hint="eastAsia" w:ascii="宋体" w:hAnsi="宋体"/>
          <w:kern w:val="0"/>
          <w:szCs w:val="21"/>
        </w:rPr>
        <w:t>收到发包人退款通知之日起5个</w:t>
      </w:r>
      <w:r>
        <w:rPr>
          <w:rFonts w:ascii="宋体" w:hAnsi="宋体"/>
          <w:kern w:val="0"/>
          <w:szCs w:val="21"/>
        </w:rPr>
        <w:t>工作日内退还超额部分的本金及利息。</w:t>
      </w:r>
    </w:p>
    <w:p>
      <w:pPr>
        <w:widowControl/>
        <w:autoSpaceDE w:val="0"/>
        <w:autoSpaceDN w:val="0"/>
        <w:adjustRightInd w:val="0"/>
        <w:spacing w:before="16"/>
        <w:ind w:firstLine="315" w:firstLineChars="150"/>
        <w:jc w:val="left"/>
        <w:outlineLvl w:val="2"/>
        <w:rPr>
          <w:rFonts w:ascii="宋体" w:hAnsi="宋体"/>
          <w:kern w:val="0"/>
          <w:szCs w:val="21"/>
        </w:rPr>
      </w:pPr>
      <w:r>
        <w:rPr>
          <w:rFonts w:hint="eastAsia" w:ascii="宋体" w:hAnsi="宋体"/>
          <w:kern w:val="0"/>
          <w:szCs w:val="21"/>
        </w:rPr>
        <w:t>上述</w:t>
      </w:r>
      <w:r>
        <w:rPr>
          <w:rFonts w:hint="eastAsia" w:ascii="宋体" w:hAnsi="宋体"/>
          <w:szCs w:val="21"/>
        </w:rPr>
        <w:t>利息以应退还金额为基数，自发包人要求退款之日起按全国银行间同业拆借中心公布的同期贷款市场报价利率（一年期）计算利息至付清之日。</w:t>
      </w:r>
      <w:r>
        <w:rPr>
          <w:rFonts w:hint="eastAsia" w:ascii="宋体" w:hAnsi="宋体"/>
          <w:kern w:val="0"/>
          <w:szCs w:val="21"/>
        </w:rPr>
        <w:t>承包人逾期返还的，除返还款项外，还应按应返还金额为基数，按每天万分之五支付违约金至付清之日。</w:t>
      </w:r>
    </w:p>
    <w:p>
      <w:pPr>
        <w:widowControl/>
        <w:adjustRightInd w:val="0"/>
        <w:snapToGrid w:val="0"/>
        <w:spacing w:line="400" w:lineRule="exact"/>
        <w:ind w:firstLine="420" w:firstLineChars="200"/>
        <w:jc w:val="left"/>
        <w:rPr>
          <w:rFonts w:ascii="宋体" w:hAnsi="宋体"/>
          <w:kern w:val="0"/>
          <w:szCs w:val="21"/>
        </w:rPr>
      </w:pPr>
      <w:r>
        <w:rPr>
          <w:rFonts w:hint="eastAsia" w:ascii="宋体" w:hAnsi="宋体"/>
          <w:szCs w:val="21"/>
        </w:rPr>
        <w:t>12.4.4.</w:t>
      </w:r>
      <w:r>
        <w:rPr>
          <w:rFonts w:ascii="宋体" w:hAnsi="宋体"/>
          <w:szCs w:val="21"/>
        </w:rPr>
        <w:t>4</w:t>
      </w:r>
      <w:r>
        <w:rPr>
          <w:rFonts w:hint="eastAsia" w:ascii="宋体" w:hAnsi="宋体"/>
          <w:kern w:val="0"/>
          <w:szCs w:val="21"/>
        </w:rPr>
        <w:t>质保金的</w:t>
      </w:r>
      <w:r>
        <w:rPr>
          <w:rFonts w:ascii="宋体" w:hAnsi="宋体"/>
          <w:kern w:val="0"/>
          <w:szCs w:val="21"/>
        </w:rPr>
        <w:t>退还</w:t>
      </w:r>
      <w:r>
        <w:rPr>
          <w:rFonts w:hint="eastAsia" w:ascii="宋体" w:hAnsi="宋体"/>
          <w:kern w:val="0"/>
          <w:szCs w:val="21"/>
        </w:rPr>
        <w:t>：按照15.3.3规定执行。</w:t>
      </w:r>
    </w:p>
    <w:p>
      <w:pPr>
        <w:widowControl/>
        <w:spacing w:line="400" w:lineRule="exact"/>
        <w:ind w:right="48" w:rightChars="23" w:firstLine="420" w:firstLineChars="200"/>
        <w:jc w:val="left"/>
        <w:rPr>
          <w:rFonts w:hAnsi="宋体"/>
          <w:szCs w:val="21"/>
        </w:rPr>
      </w:pPr>
      <w:r>
        <w:rPr>
          <w:rFonts w:hint="eastAsia" w:ascii="宋体" w:hAnsi="宋体"/>
          <w:szCs w:val="21"/>
        </w:rPr>
        <w:t>12.4.4.</w:t>
      </w:r>
      <w:r>
        <w:rPr>
          <w:rFonts w:ascii="宋体" w:hAnsi="宋体"/>
          <w:szCs w:val="21"/>
        </w:rPr>
        <w:t>5</w:t>
      </w:r>
      <w:r>
        <w:rPr>
          <w:rFonts w:hint="eastAsia" w:ascii="宋体" w:hAnsi="宋体"/>
          <w:kern w:val="0"/>
          <w:szCs w:val="21"/>
        </w:rPr>
        <w:t>每次支付前，承包人应按审核的</w:t>
      </w:r>
      <w:r>
        <w:rPr>
          <w:rFonts w:hint="eastAsia" w:ascii="宋体" w:hAnsi="宋体"/>
          <w:b/>
          <w:kern w:val="0"/>
          <w:szCs w:val="21"/>
          <w:u w:val="single"/>
        </w:rPr>
        <w:t>工程产值</w:t>
      </w:r>
      <w:r>
        <w:rPr>
          <w:rFonts w:hint="eastAsia" w:ascii="宋体" w:hAnsi="宋体"/>
          <w:kern w:val="0"/>
          <w:szCs w:val="21"/>
        </w:rPr>
        <w:t>开具增值税专用发票，发包人取得合规的发票后才支付款项。若承包人开具的发票不规范、不合法或涉嫌虚开的，发包人有权拒绝支付款项，由此所造成的逾期支付责任由承包人承担。</w:t>
      </w:r>
      <w:r>
        <w:rPr>
          <w:rFonts w:hint="eastAsia" w:ascii="宋体" w:hAnsi="宋体"/>
          <w:kern w:val="0"/>
          <w:szCs w:val="21"/>
        </w:rPr>
        <w:br w:type="textWrapping"/>
      </w:r>
      <w:r>
        <w:rPr>
          <w:rFonts w:hint="eastAsia" w:ascii="宋体" w:hAnsi="宋体"/>
          <w:szCs w:val="21"/>
        </w:rPr>
        <w:t>12.4.4.</w:t>
      </w:r>
      <w:r>
        <w:rPr>
          <w:rFonts w:ascii="宋体" w:hAnsi="宋体"/>
          <w:szCs w:val="21"/>
        </w:rPr>
        <w:t>6</w:t>
      </w:r>
      <w:r>
        <w:rPr>
          <w:rFonts w:hint="eastAsia" w:hAnsi="宋体"/>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pPr>
        <w:widowControl/>
        <w:spacing w:line="400" w:lineRule="exact"/>
        <w:ind w:right="48" w:rightChars="23" w:firstLine="420" w:firstLineChars="200"/>
        <w:jc w:val="left"/>
        <w:rPr>
          <w:rFonts w:ascii="宋体" w:cs="宋体"/>
          <w:szCs w:val="21"/>
        </w:rPr>
      </w:pPr>
      <w:r>
        <w:rPr>
          <w:rFonts w:hint="eastAsia" w:ascii="宋体" w:cs="宋体"/>
          <w:szCs w:val="21"/>
        </w:rPr>
        <w:t>12.5支付账户</w:t>
      </w:r>
    </w:p>
    <w:p>
      <w:pPr>
        <w:widowControl/>
        <w:spacing w:line="400" w:lineRule="exact"/>
        <w:ind w:right="48" w:rightChars="23" w:firstLine="420" w:firstLineChars="200"/>
        <w:jc w:val="left"/>
        <w:rPr>
          <w:rFonts w:ascii="宋体" w:cs="宋体"/>
          <w:szCs w:val="21"/>
        </w:rPr>
      </w:pPr>
      <w:r>
        <w:rPr>
          <w:rFonts w:hint="eastAsia" w:ascii="宋体" w:cs="宋体"/>
          <w:szCs w:val="21"/>
        </w:rPr>
        <w:t>12.5.1承包人接收合同价款的银行账户信息如下：</w:t>
      </w:r>
    </w:p>
    <w:p>
      <w:pPr>
        <w:widowControl/>
        <w:spacing w:line="400" w:lineRule="exact"/>
        <w:ind w:right="48" w:rightChars="23" w:firstLine="420" w:firstLineChars="200"/>
        <w:jc w:val="left"/>
        <w:rPr>
          <w:rFonts w:ascii="宋体" w:cs="宋体"/>
          <w:szCs w:val="21"/>
        </w:rPr>
      </w:pPr>
      <w:r>
        <w:rPr>
          <w:rFonts w:hint="eastAsia" w:ascii="宋体" w:cs="宋体"/>
          <w:szCs w:val="21"/>
        </w:rPr>
        <w:t xml:space="preserve">户名： </w:t>
      </w:r>
    </w:p>
    <w:p>
      <w:pPr>
        <w:widowControl/>
        <w:spacing w:line="400" w:lineRule="exact"/>
        <w:ind w:right="48" w:rightChars="23" w:firstLine="420" w:firstLineChars="200"/>
        <w:jc w:val="left"/>
        <w:rPr>
          <w:rFonts w:ascii="宋体" w:cs="宋体"/>
          <w:szCs w:val="21"/>
        </w:rPr>
      </w:pPr>
      <w:r>
        <w:rPr>
          <w:rFonts w:hint="eastAsia" w:ascii="宋体" w:cs="宋体"/>
          <w:szCs w:val="21"/>
        </w:rPr>
        <w:t xml:space="preserve">开户行： </w:t>
      </w:r>
    </w:p>
    <w:p>
      <w:pPr>
        <w:widowControl/>
        <w:spacing w:line="400" w:lineRule="exact"/>
        <w:ind w:right="48" w:rightChars="23" w:firstLine="420" w:firstLineChars="200"/>
        <w:jc w:val="left"/>
        <w:rPr>
          <w:rFonts w:ascii="宋体" w:cs="宋体"/>
          <w:szCs w:val="21"/>
        </w:rPr>
      </w:pPr>
      <w:r>
        <w:rPr>
          <w:rFonts w:hint="eastAsia" w:ascii="宋体" w:cs="宋体"/>
          <w:szCs w:val="21"/>
        </w:rPr>
        <w:t xml:space="preserve">账号： </w:t>
      </w:r>
    </w:p>
    <w:p>
      <w:pPr>
        <w:widowControl/>
        <w:spacing w:line="400" w:lineRule="exact"/>
        <w:ind w:right="48" w:rightChars="23" w:firstLine="420" w:firstLineChars="200"/>
        <w:jc w:val="left"/>
        <w:rPr>
          <w:rFonts w:ascii="宋体" w:cs="宋体"/>
          <w:szCs w:val="21"/>
        </w:rPr>
      </w:pPr>
      <w:r>
        <w:rPr>
          <w:rFonts w:hint="eastAsia" w:ascii="宋体" w:cs="宋体"/>
          <w:szCs w:val="21"/>
        </w:rPr>
        <w:t>12.5.2承包人变更付款账户，需在当次付款日前十日内通知发包人，发包人审核同意后可支付至变更账户。</w:t>
      </w:r>
    </w:p>
    <w:p>
      <w:pPr>
        <w:widowControl/>
        <w:spacing w:line="400" w:lineRule="exact"/>
        <w:ind w:right="48" w:rightChars="23" w:firstLine="420" w:firstLineChars="200"/>
        <w:jc w:val="left"/>
        <w:rPr>
          <w:rFonts w:ascii="宋体" w:cs="宋体"/>
          <w:szCs w:val="21"/>
        </w:rPr>
      </w:pPr>
      <w:r>
        <w:rPr>
          <w:rFonts w:hint="eastAsia" w:ascii="宋体" w:cs="宋体"/>
          <w:szCs w:val="21"/>
        </w:rPr>
        <w:t>12.5.3除代付农民工工资支付外，发包人不接受承包人的委托付款。</w:t>
      </w:r>
    </w:p>
    <w:p>
      <w:pPr>
        <w:widowControl/>
        <w:spacing w:line="400" w:lineRule="exact"/>
        <w:ind w:right="48" w:rightChars="23" w:firstLine="420" w:firstLineChars="200"/>
        <w:jc w:val="left"/>
        <w:rPr>
          <w:rFonts w:hAnsi="宋体"/>
          <w:szCs w:val="21"/>
        </w:rPr>
      </w:pPr>
      <w:r>
        <w:rPr>
          <w:rFonts w:ascii="宋体" w:cs="宋体"/>
          <w:szCs w:val="21"/>
        </w:rPr>
        <w:t>13.验收和工程试车</w:t>
      </w:r>
      <w:bookmarkEnd w:id="631"/>
    </w:p>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Pr>
        <w:widowControl/>
        <w:spacing w:line="400" w:lineRule="exact"/>
        <w:ind w:firstLine="420" w:firstLineChars="200"/>
        <w:jc w:val="left"/>
        <w:rPr>
          <w:rFonts w:ascii="宋体" w:hAnsi="宋体"/>
          <w:szCs w:val="21"/>
        </w:rPr>
      </w:pPr>
      <w:r>
        <w:rPr>
          <w:rFonts w:ascii="宋体" w:hAnsi="宋体"/>
          <w:szCs w:val="21"/>
        </w:rPr>
        <w:t>13.1 分部分项工程验收</w:t>
      </w:r>
    </w:p>
    <w:p>
      <w:pPr>
        <w:widowControl/>
        <w:spacing w:line="400" w:lineRule="exact"/>
        <w:ind w:firstLine="420" w:firstLineChars="200"/>
        <w:jc w:val="left"/>
        <w:rPr>
          <w:rFonts w:ascii="宋体" w:hAnsi="宋体"/>
          <w:szCs w:val="21"/>
        </w:rPr>
      </w:pPr>
      <w:r>
        <w:rPr>
          <w:rFonts w:ascii="宋体" w:hAnsi="宋体"/>
          <w:szCs w:val="21"/>
        </w:rPr>
        <w:t>13.1.2监理人不能按时进行验收时，应提前</w:t>
      </w:r>
      <w:r>
        <w:rPr>
          <w:rFonts w:hint="eastAsia" w:ascii="宋体" w:hAnsi="宋体"/>
          <w:szCs w:val="21"/>
        </w:rPr>
        <w:t>24</w:t>
      </w:r>
      <w:r>
        <w:rPr>
          <w:rFonts w:ascii="宋体" w:hAnsi="宋体"/>
          <w:szCs w:val="21"/>
        </w:rPr>
        <w:t>小时提交书面延期要求。</w:t>
      </w:r>
    </w:p>
    <w:p>
      <w:pPr>
        <w:widowControl/>
        <w:spacing w:line="400" w:lineRule="exact"/>
        <w:ind w:firstLine="420" w:firstLineChars="200"/>
        <w:jc w:val="left"/>
        <w:rPr>
          <w:rFonts w:ascii="宋体" w:hAnsi="宋体"/>
          <w:szCs w:val="21"/>
        </w:rPr>
      </w:pPr>
      <w:r>
        <w:rPr>
          <w:rFonts w:ascii="宋体" w:hAnsi="宋体"/>
          <w:szCs w:val="21"/>
        </w:rPr>
        <w:t>关于延期最长不得超过：</w:t>
      </w:r>
      <w:r>
        <w:rPr>
          <w:rFonts w:hint="eastAsia" w:ascii="宋体" w:hAnsi="宋体"/>
          <w:szCs w:val="21"/>
        </w:rPr>
        <w:t>24</w:t>
      </w:r>
      <w:r>
        <w:rPr>
          <w:rFonts w:ascii="宋体" w:hAnsi="宋体"/>
          <w:szCs w:val="21"/>
        </w:rPr>
        <w:t>小时。</w:t>
      </w:r>
    </w:p>
    <w:p>
      <w:pPr>
        <w:widowControl/>
        <w:spacing w:line="400" w:lineRule="exact"/>
        <w:ind w:firstLine="420" w:firstLineChars="200"/>
        <w:jc w:val="left"/>
        <w:rPr>
          <w:rFonts w:ascii="宋体" w:hAnsi="宋体"/>
          <w:szCs w:val="21"/>
        </w:rPr>
      </w:pPr>
      <w:bookmarkStart w:id="648" w:name="_Toc296944562"/>
      <w:bookmarkStart w:id="649" w:name="_Toc296891051"/>
      <w:bookmarkStart w:id="650" w:name="_Toc297048409"/>
      <w:bookmarkStart w:id="651" w:name="_Toc297120523"/>
      <w:bookmarkStart w:id="652" w:name="_Toc300935016"/>
      <w:bookmarkStart w:id="653" w:name="_Toc297123565"/>
      <w:bookmarkStart w:id="654" w:name="_Toc297216224"/>
      <w:bookmarkStart w:id="655" w:name="_Toc312678056"/>
      <w:bookmarkStart w:id="656" w:name="_Toc304295596"/>
      <w:bookmarkStart w:id="657" w:name="_Toc292559428"/>
      <w:bookmarkStart w:id="658" w:name="_Toc296347222"/>
      <w:bookmarkStart w:id="659" w:name="_Toc303539173"/>
      <w:bookmarkStart w:id="660" w:name="_Toc292559933"/>
      <w:bookmarkStart w:id="661" w:name="_Toc296346724"/>
      <w:bookmarkStart w:id="662" w:name="_Toc296503223"/>
      <w:bookmarkStart w:id="663" w:name="_Toc296891263"/>
      <w:bookmarkStart w:id="664" w:name="_Toc267251470"/>
      <w:bookmarkStart w:id="665" w:name="_Toc267251471"/>
      <w:bookmarkStart w:id="666" w:name="_Toc267251472"/>
      <w:bookmarkStart w:id="667" w:name="_Toc267251473"/>
      <w:bookmarkStart w:id="668" w:name="_Toc267251474"/>
      <w:bookmarkStart w:id="669" w:name="_Toc267251475"/>
      <w:bookmarkStart w:id="670" w:name="_Toc267251476"/>
      <w:r>
        <w:rPr>
          <w:rFonts w:ascii="宋体" w:hAnsi="宋体"/>
          <w:szCs w:val="21"/>
        </w:rPr>
        <w:t>13.2 竣工验收</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13.2.1竣工验收条件</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13.2.2.1竣工验收资料</w:t>
      </w:r>
    </w:p>
    <w:p>
      <w:pPr>
        <w:widowControl/>
        <w:adjustRightInd w:val="0"/>
        <w:snapToGrid w:val="0"/>
        <w:spacing w:line="400" w:lineRule="exact"/>
        <w:jc w:val="left"/>
        <w:rPr>
          <w:rFonts w:ascii="宋体" w:hAnsi="宋体"/>
          <w:szCs w:val="21"/>
        </w:rPr>
      </w:pPr>
      <w:r>
        <w:rPr>
          <w:rFonts w:hint="eastAsia" w:ascii="宋体" w:hAnsi="宋体"/>
          <w:szCs w:val="21"/>
        </w:rPr>
        <w:t>　　申请竣工验收时，承包人提交竣工资料内容：</w:t>
      </w:r>
      <w:r>
        <w:rPr>
          <w:rFonts w:hint="eastAsia"/>
          <w:szCs w:val="21"/>
        </w:rPr>
        <w:t>按国家和地方现行施工及验收规范标准和城建档案管理要求收集整理并编制成册，包括</w:t>
      </w:r>
      <w:r>
        <w:rPr>
          <w:rFonts w:hint="eastAsia" w:ascii="宋体" w:hAnsi="宋体"/>
          <w:szCs w:val="21"/>
        </w:rPr>
        <w:t>施工过程中完成的各种隐蔽资料、自检资料、记录表、竣工图等（</w:t>
      </w:r>
      <w:r>
        <w:rPr>
          <w:rFonts w:hint="eastAsia"/>
          <w:szCs w:val="21"/>
        </w:rPr>
        <w:t>纸质文件和电子文件均需</w:t>
      </w:r>
      <w:r>
        <w:rPr>
          <w:szCs w:val="21"/>
        </w:rPr>
        <w:t>提供</w:t>
      </w:r>
      <w:r>
        <w:rPr>
          <w:rFonts w:hint="eastAsia"/>
          <w:szCs w:val="21"/>
        </w:rPr>
        <w:t>）</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竣工资料份数：竣工验收后承包人向发包人提交经城建档案馆验收合格的完整的竣工档案资料一式五份(</w:t>
      </w:r>
      <w:r>
        <w:rPr>
          <w:rFonts w:hint="eastAsia"/>
          <w:szCs w:val="21"/>
        </w:rPr>
        <w:t>纸质文件和电子文件均需</w:t>
      </w:r>
      <w:r>
        <w:rPr>
          <w:szCs w:val="21"/>
        </w:rPr>
        <w:t>提供</w:t>
      </w:r>
      <w:r>
        <w:rPr>
          <w:rFonts w:hint="eastAsia" w:ascii="宋体" w:hAnsi="宋体"/>
          <w:szCs w:val="21"/>
        </w:rPr>
        <w:t>)。</w:t>
      </w:r>
    </w:p>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Pr>
        <w:widowControl/>
        <w:spacing w:line="400" w:lineRule="exact"/>
        <w:ind w:firstLine="420" w:firstLineChars="200"/>
        <w:jc w:val="left"/>
        <w:rPr>
          <w:rFonts w:ascii="宋体" w:hAnsi="宋体"/>
          <w:szCs w:val="21"/>
        </w:rPr>
      </w:pPr>
      <w:bookmarkStart w:id="671" w:name="_Toc280868704"/>
      <w:bookmarkStart w:id="672" w:name="_Toc280868705"/>
      <w:bookmarkStart w:id="673" w:name="_Toc280868706"/>
      <w:bookmarkStart w:id="674" w:name="_Toc280868707"/>
      <w:bookmarkStart w:id="675" w:name="_Toc280868708"/>
      <w:bookmarkStart w:id="676" w:name="_Toc280868709"/>
      <w:r>
        <w:rPr>
          <w:rFonts w:ascii="宋体" w:hAnsi="宋体"/>
          <w:szCs w:val="21"/>
        </w:rPr>
        <w:t>13.2.2竣工验收程序</w:t>
      </w:r>
    </w:p>
    <w:bookmarkEnd w:id="671"/>
    <w:p>
      <w:pPr>
        <w:widowControl/>
        <w:spacing w:line="400" w:lineRule="exact"/>
        <w:ind w:firstLine="420" w:firstLineChars="200"/>
        <w:jc w:val="left"/>
        <w:rPr>
          <w:rFonts w:ascii="宋体" w:hAnsi="宋体"/>
          <w:szCs w:val="21"/>
          <w:u w:val="single"/>
        </w:rPr>
      </w:pPr>
      <w:r>
        <w:rPr>
          <w:rFonts w:ascii="宋体" w:hAnsi="宋体"/>
          <w:kern w:val="0"/>
          <w:szCs w:val="21"/>
        </w:rPr>
        <w:t>关于竣工验收程序的约定：</w:t>
      </w:r>
      <w:r>
        <w:rPr>
          <w:rFonts w:hint="eastAsia" w:ascii="宋体" w:hAnsi="宋体"/>
          <w:szCs w:val="21"/>
          <w:u w:val="single"/>
        </w:rPr>
        <w:t xml:space="preserve"> 按两江新区主管部门及发包人要求执行</w:t>
      </w:r>
      <w:r>
        <w:rPr>
          <w:rFonts w:ascii="宋体" w:hAnsi="宋体"/>
          <w:szCs w:val="21"/>
        </w:rPr>
        <w:t>。</w:t>
      </w:r>
    </w:p>
    <w:bookmarkEnd w:id="672"/>
    <w:p>
      <w:pPr>
        <w:widowControl/>
        <w:spacing w:line="400" w:lineRule="exact"/>
        <w:ind w:firstLine="420" w:firstLineChars="200"/>
        <w:jc w:val="left"/>
        <w:rPr>
          <w:rFonts w:ascii="宋体" w:hAnsi="宋体"/>
          <w:szCs w:val="21"/>
        </w:rPr>
      </w:pPr>
      <w:r>
        <w:rPr>
          <w:rFonts w:ascii="宋体" w:hAnsi="宋体"/>
          <w:szCs w:val="21"/>
        </w:rPr>
        <w:t>13.2.5移交、接收全部与部分工程</w:t>
      </w:r>
    </w:p>
    <w:bookmarkEnd w:id="673"/>
    <w:p>
      <w:pPr>
        <w:widowControl/>
        <w:spacing w:line="400" w:lineRule="exact"/>
        <w:ind w:firstLine="420" w:firstLineChars="200"/>
        <w:jc w:val="left"/>
        <w:rPr>
          <w:rFonts w:ascii="宋体" w:hAnsi="宋体"/>
          <w:kern w:val="0"/>
          <w:szCs w:val="21"/>
        </w:rPr>
      </w:pPr>
      <w:r>
        <w:rPr>
          <w:rFonts w:hint="eastAsia" w:ascii="宋体" w:hAnsi="宋体"/>
          <w:kern w:val="0"/>
          <w:szCs w:val="21"/>
        </w:rPr>
        <w:t>承包人向发包人移交工程的期限：</w:t>
      </w:r>
      <w:r>
        <w:rPr>
          <w:rFonts w:hint="eastAsia" w:ascii="宋体" w:hAnsi="宋体"/>
          <w:kern w:val="0"/>
          <w:szCs w:val="21"/>
          <w:u w:val="single"/>
        </w:rPr>
        <w:t>按发包人</w:t>
      </w:r>
      <w:r>
        <w:rPr>
          <w:rFonts w:ascii="宋体" w:hAnsi="宋体"/>
          <w:kern w:val="0"/>
          <w:szCs w:val="21"/>
          <w:u w:val="single"/>
        </w:rPr>
        <w:t>要求</w:t>
      </w:r>
      <w:r>
        <w:rPr>
          <w:rFonts w:hint="eastAsia" w:ascii="宋体" w:hAnsi="宋体"/>
          <w:kern w:val="0"/>
          <w:szCs w:val="21"/>
        </w:rPr>
        <w:t>。</w:t>
      </w:r>
    </w:p>
    <w:bookmarkEnd w:id="674"/>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13.2.6绿化工程验收的条件、标准及移交</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13.2.6.1绿化工程验收的条件、标准</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13.2.6.1.1完工验收时，项目部对照施工资料，依据国家相关验收标准和行业规范对完工项目进行全面检查，市政管护中心重点查验绿化部分完工情况。</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13.2.6.1.2对验收发现的问题，施工承包人须在规定时限内（一般不超过7天）完成整改，经发包人检查确认后，方可通过验收。</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13.2.6.1.3验收基本要求为：</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绿地：绿地平整，无积水、无死亡苗木、无其它杂物、无石块及建渣，种植土达标，土壤面低于路沿石5-8cm。</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乔木：树木达到设计的规格及要求，栽植整齐，修剪合理，无枯枝残叶，无病虫害。</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灌木：灌木达到设计的规格及要求，修建整齐平整，高低分明，生长良好，绿化覆盖率应达到100%。</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地被：绿地平整，无杂草，无杂物，无病虫害，生长良好，覆盖率应达到100%。</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场地：施工材料、废物清理干净，退场后无任何遗留物，需做好清场工作。</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13.2.6.2 管护期满验收移交管理</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13.2.6.2.1承包人在移交前完成验收相关准备工作后，向发包人提出移交验收申请，由发包人牵头组成景观工程验收移交组，开展验收移交工作。</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13.2.6.2 .2 景观工程验收移交组由发包人现场代表、绿化养护单位共同组成，验收时对现场情况运用文字、拍照、录像等方式详细进行记录，如实填写验收移交表，各方签字确认后方可移交，由绿化养护单位接管养护。</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13.2.6.2 .3 管护期满达到验收移交的标准：</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（1）乔、灌木的成活率应达到100%。</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（2）种植土达标，无石块及建渣，低于路沿石5-8cm。</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（3）乔木生长良好，不偏冠、不缺冠，无枯枝枯叶，无徒长枝，行道树3米以下无徒长枝、侧枝、细枝，无病虫害，不缺肥。</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（4）灌木种植地无杂草，生长良好，无枯枝枯叶，高低分明，修剪整齐、平整，覆盖率达到100%，叶面无明显灰尘及泥土。</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（5）整形植物：整形植物修剪成型，达到设计要求，无枯枝枯叶，叶面无明显灰尘和泥土。</w:t>
      </w:r>
    </w:p>
    <w:p>
      <w:pPr>
        <w:widowControl/>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（6）地被：地被修剪平整，无杂草杂物，无病虫害，覆盖率达到100%。</w:t>
      </w:r>
    </w:p>
    <w:bookmarkEnd w:id="675"/>
    <w:p>
      <w:pPr>
        <w:widowControl/>
        <w:spacing w:line="400" w:lineRule="exact"/>
        <w:ind w:firstLine="420" w:firstLineChars="200"/>
        <w:jc w:val="left"/>
        <w:rPr>
          <w:rFonts w:ascii="宋体" w:hAnsi="宋体"/>
          <w:szCs w:val="21"/>
        </w:rPr>
      </w:pPr>
      <w:r>
        <w:rPr>
          <w:rFonts w:ascii="宋体" w:hAnsi="宋体"/>
          <w:szCs w:val="21"/>
        </w:rPr>
        <w:t>13.6 竣工退场</w:t>
      </w:r>
    </w:p>
    <w:p>
      <w:pPr>
        <w:widowControl/>
        <w:spacing w:line="400" w:lineRule="exact"/>
        <w:ind w:firstLine="420" w:firstLineChars="200"/>
        <w:jc w:val="left"/>
        <w:rPr>
          <w:rFonts w:ascii="宋体" w:hAnsi="宋体"/>
          <w:kern w:val="0"/>
          <w:szCs w:val="21"/>
        </w:rPr>
      </w:pPr>
      <w:r>
        <w:rPr>
          <w:rFonts w:ascii="宋体" w:hAnsi="宋体"/>
          <w:kern w:val="0"/>
          <w:szCs w:val="21"/>
        </w:rPr>
        <w:t>13.6.1 竣工退场</w:t>
      </w:r>
    </w:p>
    <w:p>
      <w:pPr>
        <w:widowControl/>
        <w:adjustRightInd w:val="0"/>
        <w:snapToGrid w:val="0"/>
        <w:spacing w:line="400" w:lineRule="exact"/>
        <w:ind w:firstLine="315" w:firstLineChars="150"/>
        <w:jc w:val="left"/>
        <w:rPr>
          <w:rFonts w:ascii="宋体" w:hAnsi="宋体"/>
          <w:szCs w:val="21"/>
        </w:rPr>
      </w:pPr>
      <w:bookmarkStart w:id="677" w:name="_Toc351203646"/>
      <w:r>
        <w:rPr>
          <w:rFonts w:hint="eastAsia" w:ascii="宋体" w:hAnsi="宋体"/>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Pr>
          <w:rFonts w:ascii="宋体" w:hAnsi="宋体"/>
          <w:szCs w:val="21"/>
        </w:rPr>
        <w:t>要求承包人整改，若承包人在</w:t>
      </w:r>
      <w:r>
        <w:rPr>
          <w:rFonts w:hint="eastAsia" w:ascii="宋体" w:hAnsi="宋体"/>
          <w:szCs w:val="21"/>
        </w:rPr>
        <w:t>7天</w:t>
      </w:r>
      <w:r>
        <w:rPr>
          <w:rFonts w:ascii="宋体" w:hAnsi="宋体"/>
          <w:szCs w:val="21"/>
        </w:rPr>
        <w:t>内</w:t>
      </w:r>
      <w:r>
        <w:rPr>
          <w:rFonts w:hint="eastAsia" w:ascii="宋体" w:hAnsi="宋体"/>
          <w:szCs w:val="21"/>
        </w:rPr>
        <w:t>整改仍</w:t>
      </w:r>
      <w:r>
        <w:rPr>
          <w:rFonts w:ascii="宋体" w:hAnsi="宋体"/>
          <w:szCs w:val="21"/>
        </w:rPr>
        <w:t>未达到要求的，</w:t>
      </w:r>
      <w:r>
        <w:rPr>
          <w:rFonts w:hint="eastAsia" w:ascii="宋体" w:hAnsi="宋体"/>
          <w:szCs w:val="21"/>
        </w:rPr>
        <w:t xml:space="preserve">发包人有权委托其他人恢复或清理，所发生的费用从拟支付给承包人的其它款项中扣除。 </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13.6.1.2施工队伍的撤离</w:t>
      </w:r>
    </w:p>
    <w:p>
      <w:pPr>
        <w:widowControl/>
        <w:adjustRightInd w:val="0"/>
        <w:snapToGrid w:val="0"/>
        <w:spacing w:line="400" w:lineRule="exact"/>
        <w:ind w:firstLine="315" w:firstLineChars="150"/>
        <w:jc w:val="left"/>
        <w:rPr>
          <w:rFonts w:ascii="宋体" w:hAnsi="宋体"/>
          <w:b/>
          <w:szCs w:val="21"/>
        </w:rPr>
      </w:pPr>
      <w:r>
        <w:rPr>
          <w:rFonts w:hint="eastAsia" w:ascii="宋体" w:hAnsi="宋体"/>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pPr>
        <w:widowControl/>
        <w:autoSpaceDE w:val="0"/>
        <w:autoSpaceDN w:val="0"/>
        <w:adjustRightInd w:val="0"/>
        <w:spacing w:line="400" w:lineRule="exact"/>
        <w:ind w:firstLine="422" w:firstLineChars="200"/>
        <w:outlineLvl w:val="3"/>
        <w:rPr>
          <w:rFonts w:ascii="宋体" w:hAnsi="宋体"/>
          <w:b/>
          <w:szCs w:val="21"/>
        </w:rPr>
      </w:pPr>
      <w:r>
        <w:rPr>
          <w:rFonts w:ascii="宋体" w:hAnsi="宋体"/>
          <w:b/>
          <w:szCs w:val="21"/>
        </w:rPr>
        <w:t>14. 竣工结算</w:t>
      </w:r>
      <w:bookmarkEnd w:id="677"/>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14.1 竣工结算申请</w:t>
      </w:r>
    </w:p>
    <w:p>
      <w:pPr>
        <w:widowControl/>
        <w:adjustRightInd w:val="0"/>
        <w:snapToGrid w:val="0"/>
        <w:spacing w:line="400" w:lineRule="exact"/>
        <w:ind w:firstLine="420" w:firstLineChars="200"/>
        <w:jc w:val="left"/>
        <w:rPr>
          <w:szCs w:val="21"/>
        </w:rPr>
      </w:pPr>
      <w:r>
        <w:rPr>
          <w:rFonts w:hint="eastAsia" w:ascii="宋体" w:hAnsi="宋体"/>
          <w:szCs w:val="21"/>
        </w:rPr>
        <w:t>竣工申请单的份数和提交期限：工程竣工验收合格后，承包人应在</w:t>
      </w:r>
      <w:r>
        <w:rPr>
          <w:rFonts w:hint="eastAsia" w:ascii="宋体" w:hAnsi="宋体"/>
          <w:b/>
          <w:szCs w:val="21"/>
          <w:u w:val="single"/>
        </w:rPr>
        <w:t>28个工作日</w:t>
      </w:r>
      <w:r>
        <w:rPr>
          <w:rFonts w:hint="eastAsia" w:ascii="宋体" w:hAnsi="宋体"/>
          <w:szCs w:val="21"/>
        </w:rPr>
        <w:t>内以书面方式向监理人及发包人申请办理竣工结算。并向发包人送交完整的</w:t>
      </w:r>
      <w:r>
        <w:rPr>
          <w:rFonts w:hint="eastAsia"/>
          <w:szCs w:val="21"/>
        </w:rPr>
        <w:t>符合国家和地方现行施工及验收规范标准和城建档案管理要求的</w:t>
      </w:r>
      <w:r>
        <w:rPr>
          <w:rFonts w:hint="eastAsia" w:ascii="宋体" w:hAnsi="宋体"/>
          <w:szCs w:val="21"/>
        </w:rPr>
        <w:t>工程竣工资料一式五份（</w:t>
      </w:r>
      <w:r>
        <w:rPr>
          <w:rFonts w:hint="eastAsia"/>
          <w:szCs w:val="21"/>
        </w:rPr>
        <w:t>纸质文件和电子文件均需</w:t>
      </w:r>
      <w:r>
        <w:rPr>
          <w:szCs w:val="21"/>
        </w:rPr>
        <w:t>提供</w:t>
      </w:r>
      <w:r>
        <w:rPr>
          <w:rFonts w:hint="eastAsia"/>
          <w:szCs w:val="21"/>
        </w:rPr>
        <w:t>）</w:t>
      </w:r>
      <w:r>
        <w:rPr>
          <w:rFonts w:hint="eastAsia" w:ascii="宋体" w:hAnsi="宋体"/>
          <w:szCs w:val="21"/>
        </w:rPr>
        <w:t>，以及经过监理人初审的工程结算资料一式四份（</w:t>
      </w:r>
      <w:r>
        <w:rPr>
          <w:rFonts w:hint="eastAsia"/>
          <w:szCs w:val="21"/>
        </w:rPr>
        <w:t>纸质文件和电子文件均需</w:t>
      </w:r>
      <w:r>
        <w:rPr>
          <w:szCs w:val="21"/>
        </w:rPr>
        <w:t>提供</w:t>
      </w:r>
      <w:r>
        <w:rPr>
          <w:rFonts w:hint="eastAsia" w:ascii="宋体" w:hAnsi="宋体"/>
          <w:szCs w:val="21"/>
        </w:rPr>
        <w:t>）。在结算</w:t>
      </w:r>
      <w:r>
        <w:rPr>
          <w:rFonts w:ascii="宋体" w:hAnsi="宋体"/>
          <w:szCs w:val="21"/>
        </w:rPr>
        <w:t>办理或者审计过程中，承包人要求补充提交相关资料的，发包人有权拒绝接受</w:t>
      </w:r>
      <w:r>
        <w:rPr>
          <w:rFonts w:hint="eastAsia" w:ascii="宋体" w:hAnsi="宋体"/>
          <w:szCs w:val="21"/>
        </w:rPr>
        <w:t>，</w:t>
      </w:r>
      <w:r>
        <w:rPr>
          <w:rFonts w:ascii="宋体" w:hAnsi="宋体"/>
          <w:szCs w:val="21"/>
        </w:rPr>
        <w:t>不予认可。</w:t>
      </w:r>
    </w:p>
    <w:p>
      <w:pPr>
        <w:widowControl/>
        <w:adjustRightInd w:val="0"/>
        <w:snapToGrid w:val="0"/>
        <w:spacing w:line="400" w:lineRule="exact"/>
        <w:ind w:firstLine="420" w:firstLineChars="200"/>
        <w:jc w:val="left"/>
        <w:rPr>
          <w:szCs w:val="21"/>
        </w:rPr>
      </w:pPr>
      <w:r>
        <w:rPr>
          <w:rFonts w:hint="eastAsia"/>
          <w:szCs w:val="21"/>
        </w:rPr>
        <w:t>14.2竣工结算审核</w:t>
      </w:r>
    </w:p>
    <w:p>
      <w:pPr>
        <w:widowControl/>
        <w:adjustRightInd w:val="0"/>
        <w:snapToGrid w:val="0"/>
        <w:spacing w:line="400" w:lineRule="exact"/>
        <w:ind w:firstLine="420" w:firstLineChars="200"/>
        <w:jc w:val="left"/>
        <w:rPr>
          <w:szCs w:val="21"/>
        </w:rPr>
      </w:pPr>
      <w:r>
        <w:rPr>
          <w:rFonts w:hint="eastAsia"/>
          <w:szCs w:val="21"/>
        </w:rPr>
        <w:t>14.2.1竣工结算审核的程序</w:t>
      </w:r>
    </w:p>
    <w:p>
      <w:pPr>
        <w:widowControl/>
        <w:adjustRightInd w:val="0"/>
        <w:snapToGrid w:val="0"/>
        <w:spacing w:line="400" w:lineRule="exact"/>
        <w:ind w:firstLine="420" w:firstLineChars="200"/>
        <w:jc w:val="left"/>
        <w:rPr>
          <w:rFonts w:ascii="宋体" w:hAnsi="宋体"/>
          <w:szCs w:val="21"/>
        </w:rPr>
      </w:pPr>
      <w:r>
        <w:rPr>
          <w:rFonts w:hint="eastAsia"/>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w:t>
      </w:r>
      <w:r>
        <w:rPr>
          <w:rFonts w:hint="eastAsia" w:ascii="宋体" w:hAnsi="宋体"/>
          <w:szCs w:val="21"/>
        </w:rPr>
        <w:t>重庆两江投资集团、重庆两江新区财政投资评审中心或者审计行政机关审计审定</w:t>
      </w:r>
      <w:r>
        <w:rPr>
          <w:rFonts w:hint="eastAsia"/>
          <w:szCs w:val="21"/>
        </w:rPr>
        <w:t>。</w:t>
      </w:r>
    </w:p>
    <w:p>
      <w:pPr>
        <w:widowControl/>
        <w:adjustRightInd w:val="0"/>
        <w:snapToGrid w:val="0"/>
        <w:spacing w:line="400" w:lineRule="exact"/>
        <w:ind w:firstLine="420" w:firstLineChars="200"/>
        <w:jc w:val="left"/>
        <w:rPr>
          <w:rFonts w:ascii="宋体" w:hAnsi="宋体"/>
          <w:kern w:val="0"/>
          <w:szCs w:val="21"/>
        </w:rPr>
      </w:pPr>
      <w:r>
        <w:rPr>
          <w:rFonts w:hint="eastAsia" w:ascii="宋体" w:hAnsi="宋体"/>
          <w:kern w:val="0"/>
          <w:szCs w:val="21"/>
        </w:rPr>
        <w:t>14.2.1.2承包人应</w:t>
      </w:r>
      <w:r>
        <w:rPr>
          <w:rFonts w:ascii="宋体" w:hAnsi="宋体"/>
          <w:kern w:val="0"/>
          <w:szCs w:val="21"/>
        </w:rPr>
        <w:t>及时报送结算资料，若</w:t>
      </w:r>
      <w:r>
        <w:rPr>
          <w:rFonts w:hint="eastAsia" w:ascii="宋体" w:hAnsi="宋体"/>
          <w:kern w:val="0"/>
          <w:szCs w:val="21"/>
        </w:rPr>
        <w:t>承包人迟延报送竣工结算资料</w:t>
      </w:r>
      <w:r>
        <w:rPr>
          <w:rFonts w:ascii="宋体" w:hAnsi="宋体"/>
          <w:kern w:val="0"/>
          <w:szCs w:val="21"/>
        </w:rPr>
        <w:t>，</w:t>
      </w:r>
      <w:r>
        <w:rPr>
          <w:rFonts w:hint="eastAsia" w:ascii="宋体" w:hAnsi="宋体"/>
          <w:kern w:val="0"/>
          <w:szCs w:val="21"/>
        </w:rPr>
        <w:t>每迟延一天，发包人有权要求承包人按合同价款的</w:t>
      </w:r>
      <w:r>
        <w:rPr>
          <w:rFonts w:hint="eastAsia" w:ascii="宋体" w:hAnsi="宋体"/>
          <w:szCs w:val="21"/>
        </w:rPr>
        <w:t>万分之六每</w:t>
      </w:r>
      <w:r>
        <w:rPr>
          <w:rFonts w:hint="eastAsia" w:ascii="宋体" w:hAnsi="宋体"/>
          <w:kern w:val="0"/>
          <w:szCs w:val="21"/>
        </w:rPr>
        <w:t>天向发包人支付违约金。在行政审计</w:t>
      </w:r>
      <w:r>
        <w:rPr>
          <w:rFonts w:ascii="宋体" w:hAnsi="宋体"/>
          <w:kern w:val="0"/>
          <w:szCs w:val="21"/>
        </w:rPr>
        <w:t>机关或</w:t>
      </w:r>
      <w:r>
        <w:rPr>
          <w:rFonts w:hint="eastAsia" w:ascii="宋体" w:hAnsi="宋体"/>
          <w:kern w:val="0"/>
          <w:szCs w:val="21"/>
        </w:rPr>
        <w:t>两江集团审计过程中，承包人应按审计要求，配合提供相关资料。若承包人迟延提供，则每迟延一天，发包人有权要求承包人按合同价款的</w:t>
      </w:r>
      <w:r>
        <w:rPr>
          <w:rFonts w:hint="eastAsia" w:ascii="宋体" w:hAnsi="宋体"/>
          <w:szCs w:val="21"/>
        </w:rPr>
        <w:t>万分之六每</w:t>
      </w:r>
      <w:r>
        <w:rPr>
          <w:rFonts w:hint="eastAsia" w:ascii="宋体" w:hAnsi="宋体"/>
          <w:kern w:val="0"/>
          <w:szCs w:val="21"/>
        </w:rPr>
        <w:t>天向发包人支付违约金。</w:t>
      </w:r>
    </w:p>
    <w:p>
      <w:pPr>
        <w:widowControl/>
        <w:adjustRightInd w:val="0"/>
        <w:snapToGrid w:val="0"/>
        <w:spacing w:line="400" w:lineRule="exact"/>
        <w:ind w:firstLine="420" w:firstLineChars="200"/>
        <w:jc w:val="left"/>
        <w:rPr>
          <w:rFonts w:ascii="宋体" w:hAnsi="宋体"/>
          <w:szCs w:val="21"/>
        </w:rPr>
      </w:pPr>
      <w:r>
        <w:rPr>
          <w:rFonts w:hint="eastAsia" w:ascii="宋体" w:hAnsi="宋体"/>
          <w:kern w:val="0"/>
          <w:szCs w:val="21"/>
        </w:rPr>
        <w:t>14.2.1.</w:t>
      </w:r>
      <w:r>
        <w:rPr>
          <w:rFonts w:ascii="宋体" w:hAnsi="宋体"/>
          <w:kern w:val="0"/>
          <w:szCs w:val="21"/>
        </w:rPr>
        <w:t>3</w:t>
      </w:r>
      <w:r>
        <w:rPr>
          <w:rFonts w:hint="eastAsia" w:ascii="宋体" w:hAnsi="宋体"/>
          <w:szCs w:val="21"/>
        </w:rPr>
        <w:t>承包人超过</w:t>
      </w:r>
      <w:r>
        <w:rPr>
          <w:rFonts w:ascii="宋体" w:hAnsi="宋体"/>
          <w:szCs w:val="21"/>
        </w:rPr>
        <w:t>3</w:t>
      </w:r>
      <w:r>
        <w:rPr>
          <w:rFonts w:hint="eastAsia" w:ascii="宋体" w:hAnsi="宋体"/>
          <w:szCs w:val="21"/>
        </w:rPr>
        <w:t>个月不报送竣工结算的，发包人有权会同监理单位、造价咨询机构，根据有效资料共同核定工程结算价，并送重庆两江新区开发投资集团有限公司或者审计行政机关审计审定</w:t>
      </w:r>
      <w:r>
        <w:rPr>
          <w:rFonts w:hint="eastAsia"/>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14.2.2竣工结算审计</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本合同最终工程价款以两江投资集团或重庆两江新区审计局或重庆两江新区财政投资评审中心或重庆市审计局审计审定的金额为准。如前述审计结算完成后，若项目被抽取为国家级行政审计机关审计项目，承包人须全力配合审计工作工程价款最终以国家级行政审计机关审定金额为准，并据此多退少补。</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14.2.2竣工结算原则：</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14.2.2.1本合同价款采用固定单价合同</w:t>
      </w:r>
      <w:r>
        <w:rPr>
          <w:rFonts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ascii="宋体" w:hAnsi="宋体"/>
          <w:szCs w:val="21"/>
        </w:rPr>
        <w:t>结算价款</w:t>
      </w:r>
      <w:r>
        <w:rPr>
          <w:rFonts w:hint="eastAsia" w:ascii="宋体" w:hAnsi="宋体"/>
          <w:szCs w:val="21"/>
        </w:rPr>
        <w:t>=</w:t>
      </w:r>
      <w:r>
        <w:rPr>
          <w:rFonts w:ascii="宋体" w:hAnsi="宋体"/>
          <w:szCs w:val="21"/>
        </w:rPr>
        <w:t>分部分项工程量清单结算价+措施费</w:t>
      </w:r>
      <w:r>
        <w:rPr>
          <w:rFonts w:hint="eastAsia" w:ascii="宋体" w:hAnsi="宋体"/>
          <w:szCs w:val="21"/>
        </w:rPr>
        <w:t>+</w:t>
      </w:r>
      <w:r>
        <w:rPr>
          <w:rFonts w:ascii="宋体" w:hAnsi="宋体"/>
          <w:szCs w:val="21"/>
        </w:rPr>
        <w:t>安全文明施工费+</w:t>
      </w:r>
      <w:r>
        <w:rPr>
          <w:rFonts w:hint="eastAsia" w:ascii="宋体" w:hAnsi="宋体"/>
          <w:szCs w:val="21"/>
        </w:rPr>
        <w:t>规费</w:t>
      </w:r>
      <w:r>
        <w:rPr>
          <w:rFonts w:ascii="宋体" w:hAnsi="宋体"/>
          <w:szCs w:val="21"/>
        </w:rPr>
        <w:t>+税金±</w:t>
      </w:r>
      <w:r>
        <w:rPr>
          <w:rFonts w:hint="eastAsia" w:ascii="宋体" w:hAnsi="宋体"/>
          <w:szCs w:val="21"/>
        </w:rPr>
        <w:t>合同约定的其他费用</w:t>
      </w:r>
      <w:r>
        <w:rPr>
          <w:rFonts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ascii="宋体" w:hAnsi="宋体"/>
          <w:szCs w:val="21"/>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Pr>
          <w:rFonts w:hint="eastAsia" w:ascii="宋体" w:hAnsi="宋体"/>
          <w:kern w:val="0"/>
          <w:szCs w:val="21"/>
        </w:rPr>
        <w:t>土石方工程量计算时，方格网的大小为10*10米，方向按照施工图的方向执行。</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灌木部分结算价格根据竣工验收实测密度按投标报价同比例调整后结算。（增加计算式）</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14.</w:t>
      </w:r>
      <w:r>
        <w:rPr>
          <w:rFonts w:ascii="宋体" w:hAnsi="宋体"/>
          <w:szCs w:val="21"/>
        </w:rPr>
        <w:t>2.2.2</w:t>
      </w:r>
      <w:r>
        <w:rPr>
          <w:rFonts w:hint="eastAsia" w:ascii="宋体" w:hAnsi="宋体"/>
          <w:szCs w:val="21"/>
        </w:rPr>
        <w:t>清单报价为全费用市场综合包干单价（包括但不限于全费用包干单价表中子项），在发生变更新增单价的情况下，仍按全费用市场综合包干单价由发包人确定。</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14.</w:t>
      </w:r>
      <w:r>
        <w:rPr>
          <w:rFonts w:ascii="宋体" w:hAnsi="宋体"/>
          <w:szCs w:val="21"/>
        </w:rPr>
        <w:t>2.2.3</w:t>
      </w:r>
      <w:r>
        <w:rPr>
          <w:rFonts w:hint="eastAsia" w:ascii="宋体" w:hAnsi="宋体"/>
          <w:szCs w:val="21"/>
        </w:rPr>
        <w:t>措施费计价原则：</w:t>
      </w:r>
    </w:p>
    <w:p>
      <w:pPr>
        <w:widowControl/>
        <w:adjustRightInd w:val="0"/>
        <w:snapToGrid w:val="0"/>
        <w:spacing w:line="400" w:lineRule="exact"/>
        <w:ind w:left="420" w:leftChars="200"/>
        <w:jc w:val="left"/>
        <w:rPr>
          <w:rFonts w:ascii="宋体" w:hAnsi="宋体"/>
          <w:szCs w:val="21"/>
        </w:rPr>
      </w:pPr>
      <w:r>
        <w:rPr>
          <w:rFonts w:hint="eastAsia" w:ascii="宋体" w:hAnsi="宋体"/>
          <w:szCs w:val="21"/>
        </w:rPr>
        <w:t>（1）</w:t>
      </w:r>
      <w:r>
        <w:rPr>
          <w:rFonts w:ascii="宋体" w:hAnsi="宋体"/>
          <w:szCs w:val="21"/>
        </w:rPr>
        <w:t>以量计价的措施费，结算时按实计价；</w:t>
      </w:r>
      <w:r>
        <w:rPr>
          <w:rFonts w:ascii="宋体" w:hAnsi="宋体"/>
          <w:szCs w:val="21"/>
        </w:rPr>
        <w:br w:type="textWrapping"/>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以项计价的措施费，结算时按以下计价原则调整：</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结算价中所有分部分项工程量清单合价（不含全费用清单部分）与中标价中所有分部分项工程量清单合价（不含全费用清单部分）相比：</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①以项计价的措施费（包括组织措施费和技术措施费中以项计的），浮动比例在±10%内（含10%）的，则以中标措施费包干计取，不作调整；</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②当浮动比例超过±10%时，则以中标价中以项计价的措施费为基数，调整超过±10%部分。计算公式如下：</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若B/C&gt;1.1，则A=[(B/C-1)*100%-10%</w:t>
      </w:r>
      <w:r>
        <w:rPr>
          <w:rFonts w:ascii="宋体" w:hAnsi="宋体"/>
          <w:szCs w:val="21"/>
        </w:rPr>
        <w:t>]</w:t>
      </w:r>
      <w:r>
        <w:rPr>
          <w:rFonts w:hint="eastAsia" w:ascii="宋体" w:hAnsi="宋体"/>
          <w:szCs w:val="21"/>
        </w:rPr>
        <w:t>*D</w:t>
      </w:r>
      <w:r>
        <w:rPr>
          <w:rFonts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若B/C&lt;0.9，则A=[(1-B/C)*100%-10%</w:t>
      </w:r>
      <w:r>
        <w:rPr>
          <w:rFonts w:ascii="宋体" w:hAnsi="宋体"/>
          <w:szCs w:val="21"/>
        </w:rPr>
        <w:t>]</w:t>
      </w:r>
      <w:r>
        <w:rPr>
          <w:rFonts w:hint="eastAsia" w:ascii="宋体" w:hAnsi="宋体"/>
          <w:szCs w:val="21"/>
        </w:rPr>
        <w:t>*D。</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A-措施费调整价</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B-结算价中分部分项工程量清单合价（不含全费用清单部分）</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C-中标价中分部分项工程量清单合价（不含全费用清单部分）</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D-中标价中以项计价的措施费</w:t>
      </w:r>
    </w:p>
    <w:p>
      <w:pPr>
        <w:widowControl/>
        <w:snapToGrid w:val="0"/>
        <w:spacing w:line="400" w:lineRule="exact"/>
        <w:ind w:firstLine="420" w:firstLineChars="200"/>
        <w:jc w:val="left"/>
        <w:rPr>
          <w:rFonts w:ascii="宋体" w:hAnsi="宋体"/>
          <w:b/>
          <w:szCs w:val="21"/>
        </w:rPr>
      </w:pPr>
      <w:r>
        <w:rPr>
          <w:rFonts w:hint="eastAsia" w:ascii="宋体" w:hAnsi="宋体"/>
          <w:szCs w:val="21"/>
        </w:rPr>
        <w:t>14.2.2.4暂定价材料价差调整金额：</w:t>
      </w:r>
    </w:p>
    <w:p>
      <w:pPr>
        <w:widowControl/>
        <w:spacing w:line="400" w:lineRule="exact"/>
        <w:ind w:firstLine="420" w:firstLineChars="200"/>
        <w:jc w:val="left"/>
        <w:rPr>
          <w:rFonts w:ascii="宋体" w:hAnsi="宋体"/>
          <w:szCs w:val="21"/>
        </w:rPr>
      </w:pPr>
      <w:r>
        <w:rPr>
          <w:rFonts w:hint="eastAsia" w:ascii="宋体" w:hAnsi="宋体"/>
          <w:szCs w:val="21"/>
        </w:rPr>
        <w:t>比选文件明确以暂定价计入投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pPr>
        <w:widowControl/>
        <w:snapToGrid w:val="0"/>
        <w:spacing w:line="400" w:lineRule="exact"/>
        <w:ind w:firstLine="315" w:firstLineChars="150"/>
        <w:jc w:val="left"/>
        <w:rPr>
          <w:rFonts w:ascii="宋体" w:hAnsi="宋体"/>
          <w:szCs w:val="21"/>
        </w:rPr>
      </w:pPr>
      <w:r>
        <w:rPr>
          <w:rFonts w:hint="eastAsia" w:ascii="宋体" w:hAnsi="宋体"/>
          <w:szCs w:val="21"/>
        </w:rPr>
        <w:t>14.2.2.5根据本工程的实际情况，招标工程量清单中“余方弃置”增运运距为暂定距离，实际增运运距由参建各方按实收方计算并精确到100米。</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如实际增运运距在暂定增运运距以内的，则结算时以“余方弃置”中标价除以暂定增运运距乘以实际增运运距（例：暂定10公里，实际收方8.1公里，则余方弃置结算价=余方弃置中标价÷10×8.1）。</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如实际增运运距超出暂定增运运距的，则结算时每增加1KM按下述相应单价执行，若竞标人认为该单价偏低，偏低部分的价格由竞标人自行考虑分摊计入本次比选人提供的清单项目综合单价内。余方弃置实际增运运距超出暂定增运运距以外的部分，中标后，在项目实施过程中按实计取。</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A：增加运距在0－5KM（含5KM），按2元/m3•KM计；</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B：增加运距在5KM（不含5KM）－10KM（含10KM），按1.8元/m3•KM计；</w:t>
      </w:r>
    </w:p>
    <w:p>
      <w:pPr>
        <w:widowControl/>
        <w:snapToGrid w:val="0"/>
        <w:spacing w:line="400" w:lineRule="exact"/>
        <w:ind w:firstLine="420" w:firstLineChars="200"/>
        <w:jc w:val="left"/>
        <w:rPr>
          <w:rFonts w:ascii="宋体" w:hAnsi="宋体"/>
          <w:szCs w:val="21"/>
        </w:rPr>
      </w:pPr>
      <w:r>
        <w:rPr>
          <w:rFonts w:hint="eastAsia" w:ascii="宋体" w:hAnsi="宋体"/>
          <w:szCs w:val="21"/>
        </w:rPr>
        <w:t>C：增加运距在10KM（不含10KM）以上，按市场价重新核价。</w:t>
      </w:r>
    </w:p>
    <w:p>
      <w:pPr>
        <w:widowControl/>
        <w:snapToGrid w:val="0"/>
        <w:spacing w:line="400" w:lineRule="exact"/>
        <w:ind w:firstLine="315" w:firstLineChars="150"/>
        <w:jc w:val="left"/>
        <w:rPr>
          <w:rFonts w:ascii="宋体" w:hAnsi="宋体"/>
          <w:szCs w:val="21"/>
        </w:rPr>
      </w:pPr>
      <w:r>
        <w:rPr>
          <w:rFonts w:hint="eastAsia" w:ascii="宋体" w:hAnsi="宋体"/>
          <w:szCs w:val="21"/>
        </w:rPr>
        <w:t>14.2.2.6</w:t>
      </w:r>
      <w:r>
        <w:rPr>
          <w:rFonts w:hint="eastAsia" w:ascii="宋体" w:hAnsi="宋体" w:cs="宋体"/>
          <w:kern w:val="0"/>
          <w:szCs w:val="21"/>
        </w:rPr>
        <w:t>安全文明施工费按2018年《重庆市建设工程费用定额》相关规定合格标准进行结</w:t>
      </w:r>
      <w:r>
        <w:rPr>
          <w:rFonts w:hint="eastAsia" w:ascii="宋体" w:hAnsi="宋体"/>
          <w:bCs/>
          <w:szCs w:val="21"/>
        </w:rPr>
        <w:t>算。</w:t>
      </w:r>
      <w:r>
        <w:rPr>
          <w:rFonts w:hint="eastAsia" w:ascii="宋体" w:hAnsi="宋体" w:cs="宋体"/>
          <w:kern w:val="0"/>
          <w:szCs w:val="21"/>
        </w:rPr>
        <w:t>安全文明施工综合评定结果为不合格的，不计取该项费用。</w:t>
      </w:r>
    </w:p>
    <w:p>
      <w:pPr>
        <w:widowControl/>
        <w:snapToGrid w:val="0"/>
        <w:spacing w:line="400" w:lineRule="exact"/>
        <w:ind w:firstLine="315" w:firstLineChars="150"/>
        <w:jc w:val="left"/>
        <w:rPr>
          <w:rFonts w:ascii="宋体" w:hAnsi="宋体"/>
          <w:szCs w:val="21"/>
        </w:rPr>
      </w:pPr>
      <w:r>
        <w:rPr>
          <w:rFonts w:hint="eastAsia" w:ascii="宋体" w:hAnsi="宋体"/>
          <w:szCs w:val="21"/>
        </w:rPr>
        <w:t>14.2.2.7规费按投标费率进行计取，若投标费率高于法律法规及现行费用定额规定的费率，则以法律法规及现行费用定额规定的费率计取。</w:t>
      </w:r>
    </w:p>
    <w:p>
      <w:pPr>
        <w:widowControl/>
        <w:snapToGrid w:val="0"/>
        <w:spacing w:line="400" w:lineRule="exact"/>
        <w:ind w:firstLine="315" w:firstLineChars="150"/>
        <w:jc w:val="left"/>
        <w:rPr>
          <w:rFonts w:ascii="宋体" w:hAnsi="宋体"/>
          <w:szCs w:val="21"/>
        </w:rPr>
      </w:pPr>
      <w:r>
        <w:rPr>
          <w:rFonts w:hint="eastAsia" w:ascii="宋体" w:hAnsi="宋体"/>
          <w:szCs w:val="21"/>
        </w:rPr>
        <w:t>14.2.2.8销项税额按投标报价、费率进行计取，若高于渝建发[2019]143号文规定按文件计取；进项税额按投标报价、费率进行计取，若低于渝建发[2019]143号文规定按文件计取。</w:t>
      </w:r>
    </w:p>
    <w:p>
      <w:pPr>
        <w:widowControl/>
        <w:snapToGrid w:val="0"/>
        <w:spacing w:line="400" w:lineRule="exact"/>
        <w:ind w:firstLine="315" w:firstLineChars="150"/>
        <w:jc w:val="left"/>
        <w:rPr>
          <w:rFonts w:ascii="宋体" w:hAnsi="宋体"/>
          <w:szCs w:val="21"/>
        </w:rPr>
      </w:pPr>
      <w:r>
        <w:rPr>
          <w:rFonts w:ascii="宋体" w:hAnsi="宋体"/>
          <w:szCs w:val="21"/>
        </w:rPr>
        <w:t>14.4 最终结清</w:t>
      </w:r>
    </w:p>
    <w:p>
      <w:pPr>
        <w:widowControl/>
        <w:spacing w:line="400" w:lineRule="exact"/>
        <w:ind w:firstLine="420" w:firstLineChars="200"/>
        <w:jc w:val="left"/>
        <w:rPr>
          <w:rFonts w:ascii="宋体" w:hAnsi="宋体"/>
          <w:kern w:val="0"/>
          <w:szCs w:val="21"/>
        </w:rPr>
      </w:pPr>
      <w:r>
        <w:rPr>
          <w:rFonts w:ascii="宋体" w:hAnsi="宋体"/>
          <w:kern w:val="0"/>
          <w:szCs w:val="21"/>
        </w:rPr>
        <w:t>14.4.1 最终结清申请单</w:t>
      </w:r>
    </w:p>
    <w:p>
      <w:pPr>
        <w:widowControl/>
        <w:spacing w:line="400" w:lineRule="exact"/>
        <w:ind w:firstLine="420" w:firstLineChars="200"/>
        <w:jc w:val="left"/>
        <w:rPr>
          <w:rFonts w:ascii="宋体" w:hAnsi="宋体"/>
          <w:kern w:val="0"/>
          <w:szCs w:val="21"/>
        </w:rPr>
      </w:pPr>
      <w:r>
        <w:rPr>
          <w:rFonts w:ascii="宋体" w:hAnsi="宋体"/>
          <w:kern w:val="0"/>
          <w:szCs w:val="21"/>
        </w:rPr>
        <w:t>承包人提交最终结清申请单的份数：</w:t>
      </w:r>
      <w:r>
        <w:rPr>
          <w:rFonts w:hint="eastAsia" w:ascii="宋体" w:hAnsi="宋体"/>
          <w:szCs w:val="21"/>
          <w:u w:val="single"/>
        </w:rPr>
        <w:t>5份。</w:t>
      </w:r>
    </w:p>
    <w:p>
      <w:pPr>
        <w:widowControl/>
        <w:spacing w:line="400" w:lineRule="exact"/>
        <w:ind w:firstLine="420" w:firstLineChars="200"/>
        <w:jc w:val="left"/>
        <w:rPr>
          <w:rFonts w:ascii="宋体" w:hAnsi="宋体"/>
          <w:szCs w:val="21"/>
        </w:rPr>
      </w:pPr>
      <w:r>
        <w:rPr>
          <w:rFonts w:ascii="宋体" w:hAnsi="宋体"/>
          <w:kern w:val="0"/>
          <w:szCs w:val="21"/>
        </w:rPr>
        <w:t>承包人提交最终结算申请单的期限：</w:t>
      </w:r>
      <w:r>
        <w:rPr>
          <w:rFonts w:hint="eastAsia" w:ascii="宋体" w:hAnsi="宋体"/>
          <w:szCs w:val="21"/>
          <w:u w:val="single"/>
        </w:rPr>
        <w:t>在缺陷责任期终止证书颁发且接收到专用条款</w:t>
      </w:r>
      <w:r>
        <w:rPr>
          <w:rFonts w:hint="eastAsia" w:ascii="宋体" w:hAnsi="宋体"/>
          <w:szCs w:val="21"/>
        </w:rPr>
        <w:t>14.2.1.2条所述的审计报告后</w:t>
      </w:r>
      <w:r>
        <w:rPr>
          <w:rFonts w:hint="eastAsia" w:ascii="宋体" w:hAnsi="宋体"/>
          <w:szCs w:val="21"/>
          <w:u w:val="single"/>
        </w:rPr>
        <w:t>28天内</w:t>
      </w:r>
      <w:r>
        <w:rPr>
          <w:rFonts w:hint="eastAsia" w:ascii="宋体" w:hAnsi="宋体"/>
          <w:szCs w:val="21"/>
        </w:rPr>
        <w:t>。</w:t>
      </w:r>
    </w:p>
    <w:p>
      <w:pPr>
        <w:widowControl/>
        <w:spacing w:line="400" w:lineRule="exact"/>
        <w:ind w:firstLine="420" w:firstLineChars="200"/>
        <w:jc w:val="left"/>
        <w:rPr>
          <w:rFonts w:ascii="宋体" w:hAnsi="宋体"/>
          <w:szCs w:val="21"/>
        </w:rPr>
      </w:pPr>
      <w:r>
        <w:rPr>
          <w:rFonts w:hint="eastAsia" w:ascii="宋体" w:hAnsi="宋体"/>
          <w:szCs w:val="21"/>
        </w:rPr>
        <w:t>14.4.2最终结清证书和支付</w:t>
      </w:r>
    </w:p>
    <w:p>
      <w:pPr>
        <w:widowControl/>
        <w:spacing w:line="400" w:lineRule="exact"/>
        <w:ind w:right="48" w:rightChars="23" w:firstLine="420" w:firstLineChars="200"/>
        <w:jc w:val="left"/>
        <w:rPr>
          <w:rFonts w:ascii="宋体" w:hAnsi="宋体"/>
          <w:szCs w:val="21"/>
        </w:rPr>
      </w:pPr>
      <w:r>
        <w:rPr>
          <w:rFonts w:hint="eastAsia" w:ascii="宋体" w:hAnsi="宋体"/>
          <w:szCs w:val="21"/>
        </w:rPr>
        <w:t>14.4.2.1发包人应在收到承包人提交的最终结清申请单后30日内完成审批并向承包人支付至</w:t>
      </w:r>
      <w:r>
        <w:rPr>
          <w:rFonts w:hint="eastAsia" w:ascii="宋体" w:hAnsi="宋体"/>
          <w:szCs w:val="21"/>
          <w:u w:val="single"/>
        </w:rPr>
        <w:t>本合同最终竣工结算审计价款</w:t>
      </w:r>
      <w:r>
        <w:rPr>
          <w:rFonts w:hint="eastAsia" w:ascii="宋体" w:hAnsi="宋体"/>
          <w:szCs w:val="21"/>
        </w:rPr>
        <w:t>的97%，余下3%为质保金。</w:t>
      </w:r>
    </w:p>
    <w:p>
      <w:pPr>
        <w:widowControl/>
        <w:spacing w:line="400" w:lineRule="exact"/>
        <w:ind w:right="48" w:rightChars="23" w:firstLine="420" w:firstLineChars="200"/>
        <w:jc w:val="left"/>
        <w:rPr>
          <w:rFonts w:ascii="宋体" w:hAnsi="宋体"/>
          <w:kern w:val="0"/>
          <w:szCs w:val="21"/>
        </w:rPr>
      </w:pPr>
      <w:r>
        <w:rPr>
          <w:rFonts w:hint="eastAsia" w:ascii="宋体" w:hAnsi="宋体"/>
          <w:szCs w:val="21"/>
        </w:rPr>
        <w:t>14.4.2.2</w:t>
      </w:r>
      <w:r>
        <w:rPr>
          <w:rFonts w:hint="eastAsia" w:ascii="宋体" w:hAnsi="宋体"/>
          <w:kern w:val="0"/>
          <w:szCs w:val="21"/>
        </w:rPr>
        <w:t>承包人开具工程尾款全额的增值税专用发票送达发包人，发包人扣除质保金金额后支付并同时为承包人开具质保金收据。</w:t>
      </w:r>
    </w:p>
    <w:bookmarkEnd w:id="664"/>
    <w:bookmarkEnd w:id="665"/>
    <w:bookmarkEnd w:id="666"/>
    <w:bookmarkEnd w:id="667"/>
    <w:bookmarkEnd w:id="668"/>
    <w:bookmarkEnd w:id="669"/>
    <w:bookmarkEnd w:id="670"/>
    <w:bookmarkEnd w:id="676"/>
    <w:p>
      <w:pPr>
        <w:widowControl/>
        <w:autoSpaceDE w:val="0"/>
        <w:autoSpaceDN w:val="0"/>
        <w:adjustRightInd w:val="0"/>
        <w:spacing w:line="400" w:lineRule="exact"/>
        <w:ind w:firstLine="422" w:firstLineChars="200"/>
        <w:outlineLvl w:val="3"/>
        <w:rPr>
          <w:rFonts w:ascii="宋体" w:hAnsi="宋体"/>
          <w:b/>
          <w:kern w:val="0"/>
          <w:szCs w:val="21"/>
        </w:rPr>
      </w:pPr>
      <w:bookmarkStart w:id="678" w:name="_Toc351203647"/>
      <w:bookmarkStart w:id="679" w:name="_Toc267251483"/>
      <w:bookmarkStart w:id="680" w:name="_Toc267251484"/>
      <w:bookmarkStart w:id="681" w:name="_Toc267251482"/>
      <w:bookmarkStart w:id="682" w:name="_Toc267251485"/>
      <w:bookmarkStart w:id="683" w:name="_Toc267251486"/>
      <w:bookmarkStart w:id="684" w:name="_Toc267251488"/>
      <w:bookmarkStart w:id="685" w:name="_Toc267251489"/>
      <w:bookmarkStart w:id="686" w:name="_Toc267251490"/>
      <w:bookmarkStart w:id="687" w:name="_Toc267251497"/>
      <w:bookmarkStart w:id="688" w:name="_Toc267251492"/>
      <w:bookmarkStart w:id="689" w:name="_Toc267251491"/>
      <w:bookmarkStart w:id="690" w:name="_Toc267251493"/>
      <w:bookmarkStart w:id="691" w:name="_Toc267251494"/>
      <w:bookmarkStart w:id="692" w:name="_Toc267251503"/>
      <w:bookmarkStart w:id="693" w:name="_Toc267251502"/>
      <w:bookmarkStart w:id="694" w:name="_Toc267251501"/>
      <w:bookmarkStart w:id="695" w:name="_Toc267251496"/>
      <w:bookmarkStart w:id="696" w:name="_Toc267251498"/>
      <w:bookmarkStart w:id="697" w:name="_Toc267251499"/>
      <w:bookmarkStart w:id="698" w:name="_Toc267251495"/>
      <w:bookmarkStart w:id="699" w:name="_Toc267251508"/>
      <w:bookmarkStart w:id="700" w:name="_Toc267251513"/>
      <w:bookmarkStart w:id="701" w:name="_Toc267251509"/>
      <w:bookmarkStart w:id="702" w:name="_Toc267251510"/>
      <w:bookmarkStart w:id="703" w:name="_Toc267251511"/>
      <w:bookmarkStart w:id="704" w:name="_Toc267251514"/>
      <w:bookmarkStart w:id="705" w:name="_Toc267251515"/>
      <w:bookmarkStart w:id="706" w:name="_Toc267251506"/>
      <w:bookmarkStart w:id="707" w:name="_Toc267251504"/>
      <w:bookmarkStart w:id="708" w:name="_Toc267251507"/>
      <w:r>
        <w:rPr>
          <w:rFonts w:ascii="宋体" w:hAnsi="宋体"/>
          <w:b/>
          <w:kern w:val="0"/>
          <w:szCs w:val="21"/>
        </w:rPr>
        <w:t>15. 缺陷责任期与保修</w:t>
      </w:r>
      <w:bookmarkEnd w:id="678"/>
    </w:p>
    <w:p>
      <w:pPr>
        <w:widowControl/>
        <w:adjustRightInd w:val="0"/>
        <w:snapToGrid w:val="0"/>
        <w:spacing w:line="400" w:lineRule="exact"/>
        <w:ind w:firstLine="420" w:firstLineChars="200"/>
        <w:jc w:val="left"/>
        <w:rPr>
          <w:rFonts w:ascii="宋体" w:hAnsi="宋体"/>
          <w:szCs w:val="21"/>
        </w:rPr>
      </w:pPr>
      <w:r>
        <w:rPr>
          <w:rFonts w:ascii="宋体" w:hAnsi="宋体"/>
          <w:szCs w:val="21"/>
        </w:rPr>
        <w:t>15.2缺陷责任期</w:t>
      </w:r>
      <w:bookmarkEnd w:id="679"/>
      <w:r>
        <w:rPr>
          <w:rFonts w:hint="eastAsia" w:ascii="宋体" w:hAnsi="宋体"/>
          <w:szCs w:val="21"/>
        </w:rPr>
        <w:t>：</w:t>
      </w:r>
      <w:r>
        <w:rPr>
          <w:rFonts w:hint="eastAsia" w:ascii="宋体" w:hAnsi="宋体"/>
          <w:szCs w:val="21"/>
          <w:u w:val="single"/>
        </w:rPr>
        <w:t>自工程竣工验收合格之日起24个月</w:t>
      </w:r>
      <w:r>
        <w:rPr>
          <w:rFonts w:hint="eastAsia" w:ascii="宋体" w:hAnsi="宋体"/>
          <w:szCs w:val="21"/>
        </w:rPr>
        <w:t>。</w:t>
      </w:r>
    </w:p>
    <w:p>
      <w:pPr>
        <w:widowControl/>
        <w:spacing w:line="400" w:lineRule="exact"/>
        <w:ind w:firstLine="420" w:firstLineChars="200"/>
        <w:jc w:val="left"/>
        <w:rPr>
          <w:rFonts w:ascii="宋体" w:hAnsi="宋体"/>
          <w:szCs w:val="21"/>
        </w:rPr>
      </w:pPr>
      <w:r>
        <w:rPr>
          <w:rFonts w:ascii="宋体" w:hAnsi="宋体"/>
          <w:szCs w:val="21"/>
        </w:rPr>
        <w:t>15.3 质量保证金</w:t>
      </w:r>
    </w:p>
    <w:bookmarkEnd w:id="680"/>
    <w:bookmarkEnd w:id="681"/>
    <w:p>
      <w:pPr>
        <w:widowControl/>
        <w:adjustRightInd w:val="0"/>
        <w:snapToGrid w:val="0"/>
        <w:spacing w:line="400" w:lineRule="exact"/>
        <w:ind w:firstLine="420" w:firstLineChars="200"/>
        <w:jc w:val="left"/>
        <w:rPr>
          <w:rFonts w:ascii="宋体" w:hAnsi="宋体"/>
          <w:szCs w:val="21"/>
        </w:rPr>
      </w:pPr>
      <w:r>
        <w:rPr>
          <w:rFonts w:ascii="宋体" w:hAnsi="宋体"/>
          <w:szCs w:val="21"/>
        </w:rPr>
        <w:t>15.3</w:t>
      </w:r>
      <w:r>
        <w:rPr>
          <w:rFonts w:hint="eastAsia" w:ascii="宋体" w:hAnsi="宋体"/>
          <w:szCs w:val="21"/>
        </w:rPr>
        <w:t>.1质量保证金的金额或比例：质量保证金为最终的竣工结算价款的</w:t>
      </w:r>
      <w:r>
        <w:rPr>
          <w:rFonts w:ascii="宋体" w:hAnsi="宋体"/>
          <w:szCs w:val="21"/>
        </w:rPr>
        <w:t>3</w:t>
      </w:r>
      <w:r>
        <w:rPr>
          <w:rFonts w:hint="eastAsia" w:ascii="宋体" w:hAnsi="宋体"/>
          <w:szCs w:val="21"/>
        </w:rPr>
        <w:t>%。</w:t>
      </w:r>
    </w:p>
    <w:p>
      <w:pPr>
        <w:widowControl/>
        <w:adjustRightInd w:val="0"/>
        <w:snapToGrid w:val="0"/>
        <w:spacing w:line="400" w:lineRule="exact"/>
        <w:ind w:firstLine="420" w:firstLineChars="200"/>
        <w:jc w:val="left"/>
        <w:rPr>
          <w:rFonts w:ascii="宋体" w:hAnsi="宋体"/>
          <w:szCs w:val="21"/>
        </w:rPr>
      </w:pPr>
      <w:r>
        <w:rPr>
          <w:rFonts w:ascii="宋体" w:hAnsi="宋体"/>
          <w:szCs w:val="21"/>
        </w:rPr>
        <w:t>15.3</w:t>
      </w:r>
      <w:r>
        <w:rPr>
          <w:rFonts w:hint="eastAsia" w:ascii="宋体" w:hAnsi="宋体"/>
          <w:szCs w:val="21"/>
        </w:rPr>
        <w:t>.2质量保证金的扣留方法：</w:t>
      </w:r>
      <w:r>
        <w:rPr>
          <w:rFonts w:hint="eastAsia" w:ascii="宋体" w:hAnsi="宋体"/>
          <w:szCs w:val="21"/>
          <w:u w:val="single"/>
        </w:rPr>
        <w:t>本合同最终竣工结算价款确认，最终结清时</w:t>
      </w:r>
      <w:r>
        <w:rPr>
          <w:rFonts w:hint="eastAsia" w:ascii="宋体" w:hAnsi="宋体"/>
          <w:szCs w:val="21"/>
        </w:rPr>
        <w:t>扣留质保金（详见建筑工程质量保修书）。</w:t>
      </w:r>
    </w:p>
    <w:p>
      <w:pPr>
        <w:widowControl/>
        <w:spacing w:line="400" w:lineRule="exact"/>
        <w:ind w:firstLine="420" w:firstLineChars="200"/>
        <w:jc w:val="left"/>
        <w:rPr>
          <w:rFonts w:ascii="宋体" w:hAnsi="宋体"/>
          <w:szCs w:val="21"/>
        </w:rPr>
      </w:pPr>
      <w:r>
        <w:rPr>
          <w:rFonts w:hint="eastAsia" w:ascii="宋体" w:hAnsi="宋体"/>
          <w:szCs w:val="21"/>
        </w:rPr>
        <w:t>15.3.3 质量保证金的返还分两种情形：</w:t>
      </w:r>
    </w:p>
    <w:p>
      <w:pPr>
        <w:widowControl/>
        <w:spacing w:line="400" w:lineRule="exact"/>
        <w:ind w:firstLine="420" w:firstLineChars="200"/>
        <w:jc w:val="left"/>
        <w:rPr>
          <w:rFonts w:ascii="宋体" w:hAnsi="宋体"/>
          <w:szCs w:val="21"/>
        </w:rPr>
      </w:pPr>
      <w:r>
        <w:rPr>
          <w:rFonts w:hint="eastAsia" w:ascii="宋体" w:hAnsi="宋体"/>
          <w:szCs w:val="21"/>
        </w:rPr>
        <w:t>（1）如本工程无防水项目，缺陷责任期满后且缺陷完成整改验收合格30日内一次性无息退还质量保证金。</w:t>
      </w:r>
    </w:p>
    <w:p>
      <w:pPr>
        <w:widowControl/>
        <w:spacing w:line="400" w:lineRule="exact"/>
        <w:ind w:firstLine="420" w:firstLineChars="200"/>
        <w:jc w:val="left"/>
        <w:rPr>
          <w:rFonts w:ascii="宋体" w:hAnsi="宋体"/>
          <w:szCs w:val="21"/>
        </w:rPr>
      </w:pPr>
      <w:r>
        <w:rPr>
          <w:rFonts w:hint="eastAsia" w:ascii="宋体" w:hAnsi="宋体"/>
          <w:szCs w:val="21"/>
        </w:rPr>
        <w:t>（2）如本工程有防水项目，预留防水项目造价占总项目造价同比例的质保金，待防水</w:t>
      </w:r>
      <w:r>
        <w:rPr>
          <w:rFonts w:ascii="宋体" w:hAnsi="宋体"/>
          <w:szCs w:val="21"/>
        </w:rPr>
        <w:t>项目</w:t>
      </w:r>
      <w:r>
        <w:rPr>
          <w:rFonts w:hint="eastAsia" w:ascii="宋体" w:hAnsi="宋体"/>
          <w:szCs w:val="21"/>
        </w:rPr>
        <w:t>质保期满后且缺陷完成整改验收合格之日起30日内一次性无息退还。</w:t>
      </w:r>
    </w:p>
    <w:p>
      <w:pPr>
        <w:widowControl/>
        <w:spacing w:line="400" w:lineRule="exact"/>
        <w:ind w:firstLine="420" w:firstLineChars="200"/>
        <w:jc w:val="left"/>
        <w:rPr>
          <w:rFonts w:ascii="宋体" w:hAnsi="宋体"/>
          <w:szCs w:val="21"/>
        </w:rPr>
      </w:pPr>
      <w:r>
        <w:rPr>
          <w:rFonts w:ascii="宋体" w:hAnsi="宋体"/>
          <w:szCs w:val="21"/>
        </w:rPr>
        <w:t>15.4保修</w:t>
      </w:r>
    </w:p>
    <w:bookmarkEnd w:id="682"/>
    <w:p>
      <w:pPr>
        <w:widowControl/>
        <w:spacing w:line="400" w:lineRule="exact"/>
        <w:ind w:firstLine="409" w:firstLineChars="195"/>
        <w:jc w:val="left"/>
        <w:rPr>
          <w:rFonts w:ascii="宋体" w:hAnsi="宋体"/>
          <w:szCs w:val="21"/>
        </w:rPr>
      </w:pPr>
      <w:r>
        <w:rPr>
          <w:rFonts w:ascii="宋体" w:hAnsi="宋体"/>
          <w:szCs w:val="21"/>
        </w:rPr>
        <w:t>15.4.1 保修责任</w:t>
      </w:r>
    </w:p>
    <w:bookmarkEnd w:id="683"/>
    <w:bookmarkEnd w:id="684"/>
    <w:bookmarkEnd w:id="685"/>
    <w:bookmarkEnd w:id="686"/>
    <w:p>
      <w:pPr>
        <w:widowControl/>
        <w:adjustRightInd w:val="0"/>
        <w:snapToGrid w:val="0"/>
        <w:spacing w:line="400" w:lineRule="exact"/>
        <w:ind w:firstLine="420" w:firstLineChars="200"/>
        <w:jc w:val="left"/>
        <w:rPr>
          <w:rFonts w:ascii="宋体" w:hAnsi="宋体"/>
          <w:szCs w:val="21"/>
        </w:rPr>
      </w:pPr>
      <w:bookmarkStart w:id="709" w:name="_Toc351203648"/>
      <w:bookmarkStart w:id="710" w:name="_Toc280868717"/>
      <w:bookmarkStart w:id="711" w:name="_Toc280868718"/>
      <w:r>
        <w:rPr>
          <w:rFonts w:ascii="宋体" w:hAnsi="宋体"/>
          <w:szCs w:val="21"/>
        </w:rPr>
        <w:t>15.4.1</w:t>
      </w:r>
      <w:r>
        <w:rPr>
          <w:rFonts w:hint="eastAsia" w:ascii="宋体" w:hAnsi="宋体"/>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pPr>
        <w:widowControl/>
        <w:adjustRightInd w:val="0"/>
        <w:snapToGrid w:val="0"/>
        <w:spacing w:line="400" w:lineRule="exact"/>
        <w:ind w:firstLine="420" w:firstLineChars="200"/>
        <w:jc w:val="left"/>
        <w:rPr>
          <w:rFonts w:ascii="宋体" w:hAnsi="宋体" w:cs="宋体"/>
          <w:szCs w:val="21"/>
        </w:rPr>
      </w:pPr>
      <w:r>
        <w:rPr>
          <w:rFonts w:ascii="宋体" w:hAnsi="宋体" w:cs="宋体"/>
          <w:szCs w:val="21"/>
        </w:rPr>
        <w:t>15.4.1</w:t>
      </w:r>
      <w:r>
        <w:rPr>
          <w:rFonts w:hint="eastAsia" w:ascii="宋体" w:hAnsi="宋体" w:cs="宋体"/>
          <w:szCs w:val="21"/>
        </w:rPr>
        <w:t>.2本工程苗木及草坪成活率为100%。质量标准的评定按发包人规定的验收标准执行，发包人未规定部分以现行国家或行业的质量检验评定标准为依据。</w:t>
      </w:r>
      <w:r>
        <w:rPr>
          <w:rFonts w:hint="eastAsia" w:ascii="宋体" w:hAnsi="宋体" w:cs="宋体"/>
          <w:b/>
          <w:szCs w:val="21"/>
        </w:rPr>
        <w:t>管护责任期为两年</w:t>
      </w:r>
      <w:r>
        <w:rPr>
          <w:rFonts w:hint="eastAsia" w:ascii="宋体" w:hAnsi="宋体" w:cs="宋体"/>
          <w:szCs w:val="21"/>
        </w:rPr>
        <w:t>，从本分部工程施工完成后并验收合格之日起计。</w:t>
      </w:r>
    </w:p>
    <w:p>
      <w:pPr>
        <w:widowControl/>
        <w:adjustRightInd w:val="0"/>
        <w:snapToGrid w:val="0"/>
        <w:spacing w:line="400" w:lineRule="exact"/>
        <w:ind w:firstLine="420" w:firstLineChars="200"/>
        <w:jc w:val="left"/>
        <w:rPr>
          <w:rFonts w:ascii="宋体" w:hAnsi="宋体" w:cs="宋体"/>
          <w:szCs w:val="21"/>
        </w:rPr>
      </w:pPr>
      <w:r>
        <w:rPr>
          <w:rFonts w:ascii="宋体" w:hAnsi="宋体" w:cs="宋体"/>
          <w:szCs w:val="21"/>
        </w:rPr>
        <w:t>15.4.1</w:t>
      </w:r>
      <w:r>
        <w:rPr>
          <w:rFonts w:hint="eastAsia" w:ascii="宋体" w:hAnsi="宋体" w:cs="宋体"/>
          <w:szCs w:val="21"/>
        </w:rPr>
        <w:t>.3绿化施工及验收、养护标准见《园林绿化工程施工及验收规范》CJJ82-2012。</w:t>
      </w:r>
    </w:p>
    <w:p>
      <w:pPr>
        <w:widowControl/>
        <w:adjustRightInd w:val="0"/>
        <w:snapToGrid w:val="0"/>
        <w:spacing w:line="400" w:lineRule="exact"/>
        <w:jc w:val="left"/>
        <w:rPr>
          <w:rFonts w:ascii="宋体" w:hAnsi="宋体" w:cs="宋体"/>
          <w:szCs w:val="21"/>
        </w:rPr>
      </w:pPr>
      <w:r>
        <w:rPr>
          <w:rFonts w:ascii="宋体" w:hAnsi="宋体" w:cs="宋体"/>
          <w:szCs w:val="21"/>
        </w:rPr>
        <w:t>15.4.1</w:t>
      </w:r>
      <w:r>
        <w:rPr>
          <w:rFonts w:hint="eastAsia" w:ascii="宋体" w:hAnsi="宋体" w:cs="宋体"/>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Pr>
          <w:rFonts w:ascii="宋体" w:hAnsi="宋体" w:cs="宋体"/>
          <w:szCs w:val="21"/>
        </w:rPr>
        <w:t>费用由</w:t>
      </w:r>
      <w:r>
        <w:rPr>
          <w:rFonts w:hint="eastAsia" w:ascii="宋体" w:hAnsi="宋体" w:cs="宋体"/>
          <w:szCs w:val="21"/>
        </w:rPr>
        <w:t>承包人</w:t>
      </w:r>
      <w:r>
        <w:rPr>
          <w:rFonts w:ascii="宋体" w:hAnsi="宋体" w:cs="宋体"/>
          <w:szCs w:val="21"/>
        </w:rPr>
        <w:t>承担</w:t>
      </w:r>
      <w:r>
        <w:rPr>
          <w:rFonts w:hint="eastAsia" w:ascii="宋体" w:hAnsi="宋体" w:cs="宋体"/>
          <w:szCs w:val="21"/>
        </w:rPr>
        <w:t>。</w:t>
      </w:r>
    </w:p>
    <w:p>
      <w:pPr>
        <w:widowControl/>
        <w:autoSpaceDE w:val="0"/>
        <w:autoSpaceDN w:val="0"/>
        <w:adjustRightInd w:val="0"/>
        <w:spacing w:line="400" w:lineRule="exact"/>
        <w:outlineLvl w:val="3"/>
        <w:rPr>
          <w:rFonts w:ascii="宋体" w:hAnsi="宋体" w:cs="宋体"/>
          <w:b/>
          <w:szCs w:val="21"/>
        </w:rPr>
      </w:pPr>
      <w:r>
        <w:rPr>
          <w:rFonts w:ascii="宋体" w:hAnsi="宋体" w:cs="宋体"/>
          <w:b/>
          <w:szCs w:val="21"/>
        </w:rPr>
        <w:t>16. 违约</w:t>
      </w:r>
      <w:bookmarkEnd w:id="709"/>
    </w:p>
    <w:p>
      <w:pPr>
        <w:widowControl/>
        <w:adjustRightInd w:val="0"/>
        <w:snapToGrid w:val="0"/>
        <w:spacing w:line="400" w:lineRule="exact"/>
        <w:ind w:firstLine="315" w:firstLineChars="150"/>
        <w:jc w:val="left"/>
        <w:rPr>
          <w:rFonts w:ascii="宋体" w:hAnsi="宋体"/>
          <w:szCs w:val="21"/>
        </w:rPr>
      </w:pPr>
      <w:bookmarkStart w:id="712" w:name="_Toc351203649"/>
      <w:r>
        <w:rPr>
          <w:rFonts w:hint="eastAsia" w:ascii="宋体" w:hAnsi="宋体"/>
          <w:szCs w:val="21"/>
        </w:rPr>
        <w:t>16.2承包人违约</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16.2.2承包人违约的责任</w:t>
      </w:r>
    </w:p>
    <w:p>
      <w:pPr>
        <w:widowControl/>
        <w:adjustRightInd w:val="0"/>
        <w:snapToGrid w:val="0"/>
        <w:spacing w:line="400" w:lineRule="exact"/>
        <w:ind w:firstLine="316" w:firstLineChars="150"/>
        <w:jc w:val="left"/>
        <w:rPr>
          <w:rFonts w:ascii="宋体" w:hAnsi="宋体"/>
          <w:b/>
          <w:bCs/>
          <w:szCs w:val="21"/>
        </w:rPr>
      </w:pPr>
      <w:r>
        <w:rPr>
          <w:rFonts w:hint="eastAsia" w:ascii="宋体" w:hAnsi="宋体"/>
          <w:b/>
          <w:bCs/>
          <w:szCs w:val="21"/>
        </w:rPr>
        <w:t>16.2.2.1工程质量</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（2）因承包人，施工质量低劣，工程质量不符合国家相关评定、验收标准、相关图纸要求、本合同约定的标准或发生严重的安全事故，发包人有权单方解除合同。</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Pr>
          <w:rFonts w:ascii="宋体" w:hAnsi="宋体"/>
          <w:szCs w:val="21"/>
        </w:rPr>
        <w:t>0</w:t>
      </w:r>
      <w:r>
        <w:rPr>
          <w:rFonts w:hint="eastAsia" w:ascii="宋体" w:hAnsi="宋体"/>
          <w:szCs w:val="21"/>
        </w:rPr>
        <w:t>-</w:t>
      </w:r>
      <w:r>
        <w:rPr>
          <w:rFonts w:ascii="宋体" w:hAnsi="宋体"/>
          <w:szCs w:val="21"/>
        </w:rPr>
        <w:t>5</w:t>
      </w:r>
      <w:r>
        <w:rPr>
          <w:rFonts w:hint="eastAsia" w:ascii="宋体" w:hAnsi="宋体"/>
          <w:szCs w:val="21"/>
        </w:rPr>
        <w:t xml:space="preserve">0000元。 </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上一工序或上阶段工程必须经有关部门验收合格后方可进入下道工序或下阶段工程施工。未经验收便进入下道工序或下阶段工程施工，未造成质量安全问题的，每次支付违约金100</w:t>
      </w:r>
      <w:r>
        <w:rPr>
          <w:rFonts w:ascii="宋体" w:hAnsi="宋体"/>
          <w:szCs w:val="21"/>
        </w:rPr>
        <w:t>0</w:t>
      </w:r>
      <w:r>
        <w:rPr>
          <w:rFonts w:hint="eastAsia" w:ascii="宋体" w:hAnsi="宋体"/>
          <w:szCs w:val="21"/>
        </w:rPr>
        <w:t>0元（人民币），造成质量安全问题每次支付违约金人民币20000-50000元，累计达三次以上，发包人有权解除合同。</w:t>
      </w:r>
    </w:p>
    <w:p>
      <w:pPr>
        <w:widowControl/>
        <w:spacing w:line="276" w:lineRule="auto"/>
        <w:ind w:firstLine="420" w:firstLineChars="200"/>
        <w:jc w:val="left"/>
        <w:rPr>
          <w:rFonts w:ascii="宋体" w:hAnsi="宋体"/>
          <w:szCs w:val="21"/>
        </w:rPr>
      </w:pPr>
      <w:r>
        <w:rPr>
          <w:rFonts w:hint="eastAsia" w:ascii="宋体" w:hAnsi="宋体"/>
          <w:szCs w:val="21"/>
        </w:rPr>
        <w:t>(5)承包人在缺陷责任期内及缺陷责任期满验收时以及</w:t>
      </w:r>
      <w:r>
        <w:rPr>
          <w:rFonts w:ascii="宋体" w:hAnsi="宋体"/>
          <w:szCs w:val="21"/>
        </w:rPr>
        <w:t>质量保修期内</w:t>
      </w:r>
      <w:r>
        <w:rPr>
          <w:rFonts w:hint="eastAsia" w:ascii="宋体" w:hAnsi="宋体"/>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Pr>
          <w:rFonts w:ascii="宋体" w:hAnsi="宋体"/>
          <w:szCs w:val="21"/>
        </w:rPr>
        <w:t>2</w:t>
      </w:r>
      <w:r>
        <w:rPr>
          <w:rFonts w:hint="eastAsia" w:ascii="宋体" w:hAnsi="宋体"/>
          <w:szCs w:val="21"/>
        </w:rPr>
        <w:t>倍从质保金扣除，若质保金不足扣除，发包人有权要求其支付不足部分款项。</w:t>
      </w:r>
    </w:p>
    <w:p>
      <w:pPr>
        <w:widowControl/>
        <w:adjustRightInd w:val="0"/>
        <w:snapToGrid w:val="0"/>
        <w:spacing w:line="360" w:lineRule="auto"/>
        <w:ind w:firstLine="315" w:firstLineChars="150"/>
        <w:jc w:val="left"/>
        <w:rPr>
          <w:rFonts w:ascii="宋体" w:hAnsi="宋体"/>
          <w:szCs w:val="21"/>
        </w:rPr>
      </w:pPr>
      <w:r>
        <w:rPr>
          <w:rFonts w:hint="eastAsia" w:ascii="宋体" w:hAnsi="宋体"/>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Pr>
          <w:rFonts w:ascii="宋体" w:hAnsi="宋体"/>
        </w:rPr>
        <w:t>10000</w:t>
      </w:r>
      <w:r>
        <w:rPr>
          <w:rFonts w:hint="eastAsia" w:ascii="宋体" w:hAnsi="宋体"/>
        </w:rPr>
        <w:t>元（人民币）。</w:t>
      </w:r>
    </w:p>
    <w:p>
      <w:pPr>
        <w:widowControl/>
        <w:adjustRightInd w:val="0"/>
        <w:snapToGrid w:val="0"/>
        <w:spacing w:line="400" w:lineRule="exact"/>
        <w:ind w:firstLine="527" w:firstLineChars="250"/>
        <w:jc w:val="left"/>
        <w:rPr>
          <w:rFonts w:ascii="宋体" w:hAnsi="宋体"/>
          <w:b/>
          <w:bCs/>
          <w:szCs w:val="21"/>
        </w:rPr>
      </w:pPr>
      <w:r>
        <w:rPr>
          <w:rFonts w:hint="eastAsia" w:ascii="宋体" w:hAnsi="宋体"/>
          <w:b/>
          <w:bCs/>
          <w:szCs w:val="21"/>
        </w:rPr>
        <w:t>16.2.2.2工程工期</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（2）因承包人原因造成工期延误，逾期违约金的计算方法为：因乙方原因造成工期每延后一天，承包人按合同价款的万分之二向发包人支付违约金，累计违约金不超过合同总价的10%</w:t>
      </w:r>
    </w:p>
    <w:p>
      <w:pPr>
        <w:widowControl/>
        <w:adjustRightInd w:val="0"/>
        <w:snapToGrid w:val="0"/>
        <w:spacing w:line="400" w:lineRule="exact"/>
        <w:ind w:firstLine="316" w:firstLineChars="150"/>
        <w:jc w:val="left"/>
        <w:rPr>
          <w:rFonts w:ascii="宋体" w:hAnsi="宋体"/>
          <w:b/>
          <w:bCs/>
          <w:szCs w:val="21"/>
        </w:rPr>
      </w:pPr>
      <w:r>
        <w:rPr>
          <w:rFonts w:hint="eastAsia" w:ascii="宋体" w:hAnsi="宋体"/>
          <w:b/>
          <w:bCs/>
          <w:szCs w:val="21"/>
        </w:rPr>
        <w:t>16.2.2.3环保、安全文明施工</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Pr>
          <w:rFonts w:ascii="宋体" w:hAnsi="宋体"/>
          <w:szCs w:val="21"/>
        </w:rPr>
        <w:t>5</w:t>
      </w:r>
      <w:r>
        <w:rPr>
          <w:rFonts w:hint="eastAsia" w:ascii="宋体" w:hAnsi="宋体"/>
          <w:szCs w:val="21"/>
        </w:rPr>
        <w:t>000元。</w:t>
      </w:r>
    </w:p>
    <w:p>
      <w:pPr>
        <w:widowControl/>
        <w:adjustRightInd w:val="0"/>
        <w:snapToGrid w:val="0"/>
        <w:spacing w:line="400" w:lineRule="exact"/>
        <w:ind w:firstLine="315" w:firstLineChars="150"/>
        <w:jc w:val="left"/>
      </w:pPr>
      <w:r>
        <w:rPr>
          <w:rFonts w:hint="eastAsia" w:ascii="宋体" w:hAnsi="宋体"/>
          <w:szCs w:val="21"/>
        </w:rPr>
        <w:t>（2）因承包人原因造成重大安全责任事故和重大质量事故的，造成</w:t>
      </w:r>
      <w:r>
        <w:rPr>
          <w:rFonts w:ascii="宋体" w:hAnsi="宋体"/>
          <w:szCs w:val="21"/>
        </w:rPr>
        <w:t>发包人和第三方的一切损失，均由</w:t>
      </w:r>
      <w:r>
        <w:rPr>
          <w:rFonts w:hint="eastAsia" w:ascii="宋体" w:hAnsi="宋体"/>
          <w:szCs w:val="21"/>
        </w:rPr>
        <w:t>承</w:t>
      </w:r>
      <w:r>
        <w:rPr>
          <w:rFonts w:ascii="宋体" w:hAnsi="宋体"/>
          <w:szCs w:val="21"/>
        </w:rPr>
        <w:t>包人承担，</w:t>
      </w:r>
      <w:r>
        <w:rPr>
          <w:rFonts w:hint="eastAsia" w:ascii="宋体" w:hAnsi="宋体"/>
          <w:szCs w:val="21"/>
        </w:rPr>
        <w:t>发包人有权解除合同。</w:t>
      </w:r>
    </w:p>
    <w:p>
      <w:pPr>
        <w:widowControl/>
        <w:adjustRightInd w:val="0"/>
        <w:snapToGrid w:val="0"/>
        <w:spacing w:line="400" w:lineRule="exact"/>
        <w:ind w:firstLine="315" w:firstLineChars="150"/>
        <w:jc w:val="left"/>
      </w:pPr>
      <w:r>
        <w:rPr>
          <w:rFonts w:hint="eastAsia" w:ascii="宋体" w:hAnsi="宋体"/>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pPr>
        <w:widowControl/>
        <w:adjustRightInd w:val="0"/>
        <w:snapToGrid w:val="0"/>
        <w:spacing w:line="400" w:lineRule="exact"/>
        <w:ind w:firstLine="316" w:firstLineChars="150"/>
        <w:jc w:val="left"/>
        <w:rPr>
          <w:rFonts w:ascii="宋体" w:hAnsi="宋体"/>
          <w:b/>
          <w:bCs/>
          <w:szCs w:val="21"/>
        </w:rPr>
      </w:pPr>
      <w:r>
        <w:rPr>
          <w:rFonts w:hint="eastAsia" w:ascii="宋体" w:hAnsi="宋体"/>
          <w:b/>
          <w:bCs/>
          <w:szCs w:val="21"/>
        </w:rPr>
        <w:t>16.2.2.4项目管理人员</w:t>
      </w:r>
    </w:p>
    <w:p>
      <w:pPr>
        <w:widowControl/>
        <w:numPr>
          <w:ilvl w:val="0"/>
          <w:numId w:val="5"/>
        </w:numPr>
        <w:adjustRightInd w:val="0"/>
        <w:snapToGrid w:val="0"/>
        <w:spacing w:line="400" w:lineRule="exact"/>
        <w:ind w:firstLine="315" w:firstLineChars="150"/>
        <w:jc w:val="left"/>
        <w:rPr>
          <w:rFonts w:ascii="宋体" w:hAnsi="宋体"/>
          <w:szCs w:val="21"/>
        </w:rPr>
      </w:pPr>
      <w:r>
        <w:rPr>
          <w:rFonts w:hint="eastAsia" w:ascii="宋体" w:hAnsi="宋体"/>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Pr>
          <w:rFonts w:ascii="宋体" w:hAnsi="宋体"/>
          <w:szCs w:val="21"/>
        </w:rPr>
        <w:t>5</w:t>
      </w:r>
      <w:r>
        <w:rPr>
          <w:rFonts w:hint="eastAsia" w:ascii="宋体" w:hAnsi="宋体"/>
          <w:szCs w:val="21"/>
        </w:rPr>
        <w:t>000-</w:t>
      </w:r>
      <w:r>
        <w:rPr>
          <w:rFonts w:ascii="宋体" w:hAnsi="宋体"/>
          <w:szCs w:val="21"/>
        </w:rPr>
        <w:t>5</w:t>
      </w:r>
      <w:r>
        <w:rPr>
          <w:rFonts w:hint="eastAsia" w:ascii="宋体" w:hAnsi="宋体"/>
          <w:szCs w:val="21"/>
        </w:rPr>
        <w:t>000</w:t>
      </w:r>
      <w:r>
        <w:rPr>
          <w:rFonts w:ascii="宋体" w:hAnsi="宋体"/>
          <w:szCs w:val="21"/>
        </w:rPr>
        <w:t>0</w:t>
      </w:r>
      <w:r>
        <w:rPr>
          <w:rFonts w:hint="eastAsia" w:ascii="宋体" w:hAnsi="宋体"/>
          <w:szCs w:val="21"/>
        </w:rPr>
        <w:t>元的违约金。</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Pr>
          <w:rFonts w:ascii="宋体" w:hAnsi="宋体"/>
          <w:szCs w:val="21"/>
        </w:rPr>
        <w:t>20</w:t>
      </w:r>
      <w:r>
        <w:rPr>
          <w:rFonts w:hint="eastAsia" w:ascii="宋体" w:hAnsi="宋体"/>
          <w:szCs w:val="21"/>
        </w:rPr>
        <w:t>00元的违约金。</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（6）易燃、易爆物品、地上、地下管线和各种设施由承包人制定保护方案、落实专人负责管理，如发现以上人员脱岗或管理不力，每人次扣除人民币</w:t>
      </w:r>
      <w:r>
        <w:rPr>
          <w:rFonts w:ascii="宋体" w:hAnsi="宋体"/>
          <w:szCs w:val="21"/>
        </w:rPr>
        <w:t>20</w:t>
      </w:r>
      <w:r>
        <w:rPr>
          <w:rFonts w:hint="eastAsia" w:ascii="宋体" w:hAnsi="宋体"/>
          <w:szCs w:val="21"/>
        </w:rPr>
        <w:t>00元违约金，三次以上后，扣除违约金人民币</w:t>
      </w:r>
      <w:r>
        <w:rPr>
          <w:rFonts w:ascii="宋体" w:hAnsi="宋体"/>
          <w:szCs w:val="21"/>
        </w:rPr>
        <w:t>2</w:t>
      </w:r>
      <w:r>
        <w:rPr>
          <w:rFonts w:hint="eastAsia" w:ascii="宋体" w:hAnsi="宋体"/>
          <w:szCs w:val="21"/>
        </w:rPr>
        <w:t>0000元，若发生破坏管线等各种设施，按情节严重不同每次处以20000-80000元的违约金。</w:t>
      </w:r>
    </w:p>
    <w:p>
      <w:pPr>
        <w:widowControl/>
        <w:adjustRightInd w:val="0"/>
        <w:snapToGrid w:val="0"/>
        <w:spacing w:line="360" w:lineRule="auto"/>
        <w:ind w:firstLine="420" w:firstLineChars="200"/>
        <w:jc w:val="left"/>
        <w:rPr>
          <w:rFonts w:ascii="宋体" w:hAnsi="宋体"/>
        </w:rPr>
      </w:pPr>
      <w:r>
        <w:rPr>
          <w:rFonts w:hint="eastAsia" w:ascii="宋体" w:hAnsi="宋体"/>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为上报行政主管部门。承包人不按期派项目人员进场实施，发包人有权解除合同，没收履约保证金。</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计量款内予以落实。</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若承包人申请更换项目经理、技术负责人，已获得发包人同意，后经发现承包人变更理由不真实、存在欺骗行为的或变更前的项目经理/技术负责人再次在其他项目投标并中标的，发包人有权追究其违约责任，违约责任追究参照16.2.2.4第（7）项规定执行。</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16.2.2.5竣工结算</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w:t>
      </w:r>
      <w:r>
        <w:rPr>
          <w:rFonts w:hint="eastAsia" w:ascii="宋体" w:hAnsi="宋体"/>
          <w:kern w:val="0"/>
          <w:szCs w:val="21"/>
        </w:rPr>
        <w:t>承包人应</w:t>
      </w:r>
      <w:r>
        <w:rPr>
          <w:rFonts w:ascii="宋体" w:hAnsi="宋体"/>
          <w:kern w:val="0"/>
          <w:szCs w:val="21"/>
        </w:rPr>
        <w:t>及时报送结算资料，若</w:t>
      </w:r>
      <w:r>
        <w:rPr>
          <w:rFonts w:hint="eastAsia" w:ascii="宋体" w:hAnsi="宋体"/>
          <w:kern w:val="0"/>
          <w:szCs w:val="21"/>
        </w:rPr>
        <w:t>承包人迟延报送竣工结算资料</w:t>
      </w:r>
      <w:r>
        <w:rPr>
          <w:rFonts w:ascii="宋体" w:hAnsi="宋体"/>
          <w:kern w:val="0"/>
          <w:szCs w:val="21"/>
        </w:rPr>
        <w:t>，</w:t>
      </w:r>
      <w:r>
        <w:rPr>
          <w:rFonts w:hint="eastAsia" w:ascii="宋体" w:hAnsi="宋体"/>
          <w:kern w:val="0"/>
          <w:szCs w:val="21"/>
        </w:rPr>
        <w:t>每迟延一天，发包人有权要求承包人按合同价款的</w:t>
      </w:r>
      <w:r>
        <w:rPr>
          <w:rFonts w:hint="eastAsia" w:ascii="宋体" w:hAnsi="宋体"/>
          <w:szCs w:val="21"/>
        </w:rPr>
        <w:t>万分之六每</w:t>
      </w:r>
      <w:r>
        <w:rPr>
          <w:rFonts w:hint="eastAsia" w:ascii="宋体" w:hAnsi="宋体"/>
          <w:kern w:val="0"/>
          <w:szCs w:val="21"/>
        </w:rPr>
        <w:t>天向发包人支付违约金。在行政审计</w:t>
      </w:r>
      <w:r>
        <w:rPr>
          <w:rFonts w:ascii="宋体" w:hAnsi="宋体"/>
          <w:kern w:val="0"/>
          <w:szCs w:val="21"/>
        </w:rPr>
        <w:t>机关或</w:t>
      </w:r>
      <w:r>
        <w:rPr>
          <w:rFonts w:hint="eastAsia" w:ascii="宋体" w:hAnsi="宋体"/>
          <w:kern w:val="0"/>
          <w:szCs w:val="21"/>
        </w:rPr>
        <w:t>两江集团审计过程中，承包人应按审计要求，配合提供相关资料。若承包人迟延提供，则每迟延一天，发包人有权要求承包人按合同价款的</w:t>
      </w:r>
      <w:r>
        <w:rPr>
          <w:rFonts w:hint="eastAsia" w:ascii="宋体" w:hAnsi="宋体"/>
          <w:szCs w:val="21"/>
        </w:rPr>
        <w:t>万分之六每</w:t>
      </w:r>
      <w:r>
        <w:rPr>
          <w:rFonts w:hint="eastAsia" w:ascii="宋体" w:hAnsi="宋体"/>
          <w:kern w:val="0"/>
          <w:szCs w:val="21"/>
        </w:rPr>
        <w:t>天向发包人支付违约金。</w:t>
      </w:r>
    </w:p>
    <w:p>
      <w:pPr>
        <w:widowControl/>
        <w:numPr>
          <w:ilvl w:val="0"/>
          <w:numId w:val="6"/>
        </w:numPr>
        <w:adjustRightInd w:val="0"/>
        <w:snapToGrid w:val="0"/>
        <w:spacing w:line="360" w:lineRule="auto"/>
        <w:ind w:firstLine="315" w:firstLineChars="150"/>
        <w:jc w:val="left"/>
        <w:rPr>
          <w:rFonts w:ascii="等线" w:hAnsi="等线" w:eastAsia="等线"/>
        </w:rPr>
      </w:pPr>
      <w:r>
        <w:rPr>
          <w:rFonts w:hint="eastAsia"/>
        </w:rPr>
        <w:t>发现承包人隐蔽工程资料造假、竣工图与现场不一致、未按设计施工、承包人履约不力等问题时，按情节严重不同每次以人民币10000-30000元的违约金。</w:t>
      </w:r>
      <w:r>
        <w:rPr>
          <w:rFonts w:hint="eastAsia" w:ascii="宋体" w:hAnsi="宋体"/>
        </w:rPr>
        <w:t>承包人应认真配合发包人搞好工程结算工作。报审的工程结算总额超过审定的工程结算总额</w:t>
      </w:r>
      <w:r>
        <w:rPr>
          <w:rFonts w:ascii="宋体" w:hAnsi="宋体"/>
        </w:rPr>
        <w:t>8</w:t>
      </w:r>
      <w:r>
        <w:rPr>
          <w:rFonts w:hint="eastAsia" w:ascii="宋体" w:hAnsi="宋体"/>
        </w:rPr>
        <w:t>%以上的，发包人按其超出</w:t>
      </w:r>
      <w:r>
        <w:rPr>
          <w:rFonts w:ascii="宋体" w:hAnsi="宋体"/>
        </w:rPr>
        <w:t>8</w:t>
      </w:r>
      <w:r>
        <w:rPr>
          <w:rFonts w:hint="eastAsia" w:ascii="宋体" w:hAnsi="宋体"/>
        </w:rPr>
        <w:t>%部分审减额的</w:t>
      </w:r>
      <w:r>
        <w:rPr>
          <w:rFonts w:ascii="宋体" w:hAnsi="宋体"/>
        </w:rPr>
        <w:t>5</w:t>
      </w:r>
      <w:r>
        <w:rPr>
          <w:rFonts w:hint="eastAsia" w:ascii="宋体" w:hAnsi="宋体"/>
        </w:rPr>
        <w:t>%在结算款中扣除。</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16.2.2.7承包人将本工程转包、或同意第三者挂靠承揽本工程、或未经发包人同意进行分包，发包人有权解除</w:t>
      </w:r>
      <w:r>
        <w:rPr>
          <w:rFonts w:ascii="宋体" w:hAnsi="宋体"/>
          <w:szCs w:val="21"/>
        </w:rPr>
        <w:t>合同</w:t>
      </w:r>
      <w:r>
        <w:rPr>
          <w:rFonts w:hint="eastAsia" w:ascii="宋体" w:hAnsi="宋体"/>
          <w:szCs w:val="21"/>
        </w:rPr>
        <w:t>并</w:t>
      </w:r>
      <w:r>
        <w:rPr>
          <w:rFonts w:ascii="宋体" w:hAnsi="宋体"/>
          <w:szCs w:val="21"/>
        </w:rPr>
        <w:t>没收其</w:t>
      </w:r>
      <w:r>
        <w:rPr>
          <w:rFonts w:hint="eastAsia" w:ascii="宋体" w:hAnsi="宋体"/>
          <w:szCs w:val="21"/>
        </w:rPr>
        <w:t>履约</w:t>
      </w:r>
      <w:r>
        <w:rPr>
          <w:rFonts w:ascii="宋体" w:hAnsi="宋体"/>
          <w:szCs w:val="21"/>
        </w:rPr>
        <w:t>保证金</w:t>
      </w:r>
      <w:r>
        <w:rPr>
          <w:rFonts w:hint="eastAsia" w:ascii="宋体" w:hAnsi="宋体"/>
          <w:szCs w:val="21"/>
        </w:rPr>
        <w:t>，如履约保证金已退还的，承包人应向发包人支付与履约保证金同等金额的违约金。</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16.2.2.8承包人应积极</w:t>
      </w:r>
      <w:r>
        <w:rPr>
          <w:rFonts w:ascii="宋体" w:hAnsi="宋体"/>
          <w:szCs w:val="21"/>
        </w:rPr>
        <w:t>配合发包人办理</w:t>
      </w:r>
      <w:r>
        <w:rPr>
          <w:rFonts w:hint="eastAsia" w:ascii="宋体" w:hAnsi="宋体"/>
          <w:szCs w:val="21"/>
        </w:rPr>
        <w:t>行政性手续、及时缴纳各职能部门的各项行政性规费，如因承包人不配合</w:t>
      </w:r>
      <w:r>
        <w:rPr>
          <w:rFonts w:ascii="宋体" w:hAnsi="宋体"/>
          <w:szCs w:val="21"/>
        </w:rPr>
        <w:t>办理、</w:t>
      </w:r>
      <w:r>
        <w:rPr>
          <w:rFonts w:hint="eastAsia" w:ascii="宋体" w:hAnsi="宋体"/>
          <w:szCs w:val="21"/>
        </w:rPr>
        <w:t>滞交或不交相关费用的</w:t>
      </w:r>
      <w:r>
        <w:rPr>
          <w:rFonts w:ascii="宋体" w:hAnsi="宋体"/>
          <w:szCs w:val="21"/>
        </w:rPr>
        <w:t>，</w:t>
      </w:r>
      <w:r>
        <w:rPr>
          <w:rFonts w:hint="eastAsia" w:ascii="宋体" w:hAnsi="宋体"/>
          <w:szCs w:val="21"/>
        </w:rPr>
        <w:t>发包人</w:t>
      </w:r>
      <w:r>
        <w:rPr>
          <w:rFonts w:ascii="宋体" w:hAnsi="宋体"/>
          <w:szCs w:val="21"/>
        </w:rPr>
        <w:t>有权处以</w:t>
      </w:r>
      <w:r>
        <w:rPr>
          <w:rFonts w:hint="eastAsia" w:ascii="宋体" w:hAnsi="宋体"/>
          <w:szCs w:val="21"/>
        </w:rPr>
        <w:t>5000元</w:t>
      </w:r>
      <w:r>
        <w:rPr>
          <w:rFonts w:ascii="宋体" w:hAnsi="宋体"/>
          <w:szCs w:val="21"/>
        </w:rPr>
        <w:t>-10000</w:t>
      </w:r>
      <w:r>
        <w:rPr>
          <w:rFonts w:hint="eastAsia" w:ascii="宋体" w:hAnsi="宋体"/>
          <w:szCs w:val="21"/>
        </w:rPr>
        <w:t>元</w:t>
      </w:r>
      <w:r>
        <w:rPr>
          <w:rFonts w:ascii="宋体" w:hAnsi="宋体"/>
          <w:szCs w:val="21"/>
        </w:rPr>
        <w:t>的违约金。</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16.2.2.9承包人在工程收方计量中采用欺骗手段或弄虚作假的，每发现一次，承包人向发包人支付违约金人民币10万元。</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16.2.2.10承包人采购的设备、材料不符合本合同约定的标准，除按合同约定返工、更换和赔偿损失外，还应按照当次采购价的20%向发包人支付违约金。</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16.2.2.11农民工权益保护</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16.2.2.11.1承包人不得以任何理由拖欠民工工资，若因承包人拖欠民工工资，导致民工集体上访、闹事（如拦马路等），每发生一次，承包人向发包人支付违约金人民币</w:t>
      </w:r>
      <w:r>
        <w:rPr>
          <w:rFonts w:ascii="宋体" w:hAnsi="宋体"/>
          <w:szCs w:val="21"/>
        </w:rPr>
        <w:t>5</w:t>
      </w:r>
      <w:r>
        <w:rPr>
          <w:rFonts w:hint="eastAsia" w:ascii="宋体" w:hAnsi="宋体"/>
          <w:szCs w:val="21"/>
        </w:rPr>
        <w:t>万元，且发包人有权在承包人的工程进度款中扣除相当于农民工工资部分的金额，代承包人支付给农民工本人。</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16.2.2.11.2承包人不得编造虚假事实或者采取非法手段讨要农民工工资，或者以拖欠农民工工资为名讨要工程款的,每发生一次，承包人向发包人支付违约金人民币10万元。</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16.2.2.12承包人在本项目工作过程中，发生违法乱纪、行贿行为或因此受到法律、法规制裁的，发包人根据具体情况，有权解除合同。</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 xml:space="preserve">16.2.2.13承包人必须在发包人批准的作业范围内组织施工作业，超越发包人批准的作业范围所造成的一切损失和责任由承包人自行承担，工期不顺延。 </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16.2.2.14绿化工程管护期满验收不合格苗木的责任</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（2）验收记录为“严重虫害”的苗木，由发包人扣除承包人该苗木综合单价作为赔偿。</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（3）验收记录为“半截、高度不够及1/2缺冠”的苗木，但</w:t>
      </w:r>
      <w:r>
        <w:rPr>
          <w:rFonts w:ascii="宋体" w:hAnsi="宋体"/>
          <w:szCs w:val="21"/>
        </w:rPr>
        <w:t>验收数据在设计值</w:t>
      </w:r>
      <w:r>
        <w:rPr>
          <w:rFonts w:hint="eastAsia" w:ascii="宋体" w:hAnsi="宋体"/>
          <w:szCs w:val="21"/>
        </w:rPr>
        <w:t>20</w:t>
      </w:r>
      <w:r>
        <w:rPr>
          <w:rFonts w:ascii="宋体" w:hAnsi="宋体"/>
          <w:szCs w:val="21"/>
        </w:rPr>
        <w:t>%以内的苗木，且不影响景观效果可由发包人按照合同价</w:t>
      </w:r>
      <w:r>
        <w:rPr>
          <w:rFonts w:hint="eastAsia" w:ascii="宋体" w:hAnsi="宋体"/>
          <w:szCs w:val="21"/>
        </w:rPr>
        <w:t>40</w:t>
      </w:r>
      <w:r>
        <w:rPr>
          <w:rFonts w:ascii="宋体" w:hAnsi="宋体"/>
          <w:szCs w:val="21"/>
        </w:rPr>
        <w:t>%进行扣减后，进入结算。</w:t>
      </w:r>
      <w:r>
        <w:rPr>
          <w:rFonts w:hint="eastAsia" w:ascii="宋体" w:hAnsi="宋体"/>
          <w:szCs w:val="21"/>
        </w:rPr>
        <w:t>验收数据</w:t>
      </w:r>
      <w:r>
        <w:rPr>
          <w:rFonts w:ascii="宋体" w:hAnsi="宋体"/>
          <w:szCs w:val="21"/>
        </w:rPr>
        <w:t>在设计值</w:t>
      </w:r>
      <w:r>
        <w:rPr>
          <w:rFonts w:hint="eastAsia" w:ascii="宋体" w:hAnsi="宋体"/>
          <w:szCs w:val="21"/>
        </w:rPr>
        <w:t>20</w:t>
      </w:r>
      <w:r>
        <w:rPr>
          <w:rFonts w:ascii="宋体" w:hAnsi="宋体"/>
          <w:szCs w:val="21"/>
        </w:rPr>
        <w:t>%以上的苗木，</w:t>
      </w:r>
      <w:r>
        <w:rPr>
          <w:rFonts w:hint="eastAsia" w:ascii="宋体" w:hAnsi="宋体"/>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（4）验收</w:t>
      </w:r>
      <w:r>
        <w:rPr>
          <w:rFonts w:ascii="宋体" w:hAnsi="宋体"/>
          <w:szCs w:val="21"/>
        </w:rPr>
        <w:t>记录为“</w:t>
      </w:r>
      <w:r>
        <w:rPr>
          <w:rFonts w:hint="eastAsia" w:ascii="宋体" w:hAnsi="宋体"/>
          <w:szCs w:val="21"/>
        </w:rPr>
        <w:t>胸径</w:t>
      </w:r>
      <w:r>
        <w:rPr>
          <w:rFonts w:ascii="宋体" w:hAnsi="宋体"/>
          <w:szCs w:val="21"/>
        </w:rPr>
        <w:t>或地径不达标”</w:t>
      </w:r>
      <w:r>
        <w:rPr>
          <w:rFonts w:hint="eastAsia" w:ascii="宋体" w:hAnsi="宋体"/>
          <w:szCs w:val="21"/>
        </w:rPr>
        <w:t>的</w:t>
      </w:r>
      <w:r>
        <w:rPr>
          <w:rFonts w:ascii="宋体" w:hAnsi="宋体"/>
          <w:szCs w:val="21"/>
        </w:rPr>
        <w:t>苗木，要求承包人在适合季节进行更换，发包人</w:t>
      </w:r>
      <w:r>
        <w:rPr>
          <w:rFonts w:hint="eastAsia" w:ascii="宋体" w:hAnsi="宋体"/>
          <w:szCs w:val="21"/>
        </w:rPr>
        <w:t>通知</w:t>
      </w:r>
      <w:r>
        <w:rPr>
          <w:rFonts w:ascii="宋体" w:hAnsi="宋体"/>
          <w:szCs w:val="21"/>
        </w:rPr>
        <w:t>（</w:t>
      </w:r>
      <w:r>
        <w:rPr>
          <w:rFonts w:hint="eastAsia" w:ascii="宋体" w:hAnsi="宋体"/>
          <w:szCs w:val="21"/>
        </w:rPr>
        <w:t>电话</w:t>
      </w:r>
      <w:r>
        <w:rPr>
          <w:rFonts w:ascii="宋体" w:hAnsi="宋体"/>
          <w:szCs w:val="21"/>
        </w:rPr>
        <w:t>、书面通知、短信、微信、邮件等通信方式</w:t>
      </w:r>
      <w:r>
        <w:rPr>
          <w:rFonts w:hint="eastAsia" w:ascii="宋体" w:hAnsi="宋体"/>
          <w:szCs w:val="21"/>
        </w:rPr>
        <w:t>皆可</w:t>
      </w:r>
      <w:r>
        <w:rPr>
          <w:rFonts w:ascii="宋体" w:hAnsi="宋体"/>
          <w:szCs w:val="21"/>
        </w:rPr>
        <w:t>）</w:t>
      </w:r>
      <w:r>
        <w:rPr>
          <w:rFonts w:hint="eastAsia" w:ascii="宋体" w:hAnsi="宋体"/>
          <w:szCs w:val="21"/>
        </w:rPr>
        <w:t>合理</w:t>
      </w:r>
      <w:r>
        <w:rPr>
          <w:rFonts w:ascii="宋体" w:hAnsi="宋体"/>
          <w:szCs w:val="21"/>
        </w:rPr>
        <w:t>期限内</w:t>
      </w:r>
      <w:r>
        <w:rPr>
          <w:rFonts w:hint="eastAsia" w:ascii="宋体" w:hAnsi="宋体"/>
          <w:szCs w:val="21"/>
        </w:rPr>
        <w:t>无</w:t>
      </w:r>
      <w:r>
        <w:rPr>
          <w:rFonts w:ascii="宋体" w:hAnsi="宋体"/>
          <w:szCs w:val="21"/>
        </w:rPr>
        <w:t>响应，发包人有权委托第三方单位</w:t>
      </w:r>
      <w:r>
        <w:rPr>
          <w:rFonts w:hint="eastAsia" w:ascii="宋体" w:hAnsi="宋体"/>
          <w:szCs w:val="21"/>
        </w:rPr>
        <w:t>直接</w:t>
      </w:r>
      <w:r>
        <w:rPr>
          <w:rFonts w:ascii="宋体" w:hAnsi="宋体"/>
          <w:szCs w:val="21"/>
        </w:rPr>
        <w:t>进行更换，</w:t>
      </w:r>
      <w:r>
        <w:rPr>
          <w:rFonts w:hint="eastAsia" w:ascii="宋体" w:hAnsi="宋体"/>
          <w:szCs w:val="21"/>
        </w:rPr>
        <w:t>费用</w:t>
      </w:r>
      <w:r>
        <w:rPr>
          <w:rFonts w:ascii="宋体" w:hAnsi="宋体"/>
          <w:szCs w:val="21"/>
        </w:rPr>
        <w:t>承包人承担，价格</w:t>
      </w:r>
      <w:r>
        <w:rPr>
          <w:rFonts w:hint="eastAsia" w:ascii="宋体" w:hAnsi="宋体"/>
          <w:szCs w:val="21"/>
        </w:rPr>
        <w:t>按</w:t>
      </w:r>
      <w:r>
        <w:rPr>
          <w:rFonts w:ascii="宋体" w:hAnsi="宋体"/>
          <w:szCs w:val="21"/>
        </w:rPr>
        <w:t>当期市场价进行组价，并以发包人与</w:t>
      </w:r>
      <w:r>
        <w:rPr>
          <w:rFonts w:hint="eastAsia" w:ascii="宋体" w:hAnsi="宋体"/>
          <w:szCs w:val="21"/>
        </w:rPr>
        <w:t>第</w:t>
      </w:r>
      <w:r>
        <w:rPr>
          <w:rFonts w:ascii="宋体" w:hAnsi="宋体"/>
          <w:szCs w:val="21"/>
        </w:rPr>
        <w:t>三人结算价款的</w:t>
      </w:r>
      <w:r>
        <w:rPr>
          <w:rFonts w:hint="eastAsia" w:ascii="宋体" w:hAnsi="宋体"/>
          <w:szCs w:val="21"/>
        </w:rPr>
        <w:t>2倍</w:t>
      </w:r>
      <w:r>
        <w:rPr>
          <w:rFonts w:ascii="宋体" w:hAnsi="宋体"/>
          <w:szCs w:val="21"/>
        </w:rPr>
        <w:t>从承包人工程款中予以扣除。</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（5）关于</w:t>
      </w:r>
      <w:r>
        <w:rPr>
          <w:rFonts w:ascii="宋体" w:hAnsi="宋体"/>
          <w:szCs w:val="21"/>
        </w:rPr>
        <w:t>死亡</w:t>
      </w:r>
      <w:r>
        <w:rPr>
          <w:rFonts w:hint="eastAsia" w:ascii="宋体" w:hAnsi="宋体"/>
          <w:szCs w:val="21"/>
        </w:rPr>
        <w:t>苗木</w:t>
      </w:r>
      <w:r>
        <w:rPr>
          <w:rFonts w:ascii="宋体" w:hAnsi="宋体"/>
          <w:szCs w:val="21"/>
        </w:rPr>
        <w:t>：对于死亡苗木</w:t>
      </w:r>
      <w:r>
        <w:rPr>
          <w:rFonts w:hint="eastAsia" w:ascii="宋体" w:hAnsi="宋体"/>
          <w:szCs w:val="21"/>
        </w:rPr>
        <w:t>，</w:t>
      </w:r>
      <w:r>
        <w:rPr>
          <w:rFonts w:ascii="宋体" w:hAnsi="宋体"/>
          <w:szCs w:val="21"/>
        </w:rPr>
        <w:t>承包人应按发包人通知（</w:t>
      </w:r>
      <w:r>
        <w:rPr>
          <w:rFonts w:hint="eastAsia" w:ascii="宋体" w:hAnsi="宋体"/>
          <w:szCs w:val="21"/>
        </w:rPr>
        <w:t>电话</w:t>
      </w:r>
      <w:r>
        <w:rPr>
          <w:rFonts w:ascii="宋体" w:hAnsi="宋体"/>
          <w:szCs w:val="21"/>
        </w:rPr>
        <w:t>、书面通知、短信、微信、邮件等通信方式皆可）</w:t>
      </w:r>
      <w:r>
        <w:rPr>
          <w:rFonts w:hint="eastAsia" w:ascii="宋体" w:hAnsi="宋体"/>
          <w:szCs w:val="21"/>
        </w:rPr>
        <w:t>的</w:t>
      </w:r>
      <w:r>
        <w:rPr>
          <w:rFonts w:ascii="宋体" w:hAnsi="宋体"/>
          <w:szCs w:val="21"/>
        </w:rPr>
        <w:t>合理</w:t>
      </w:r>
      <w:r>
        <w:rPr>
          <w:rFonts w:hint="eastAsia" w:ascii="宋体" w:hAnsi="宋体"/>
          <w:szCs w:val="21"/>
        </w:rPr>
        <w:t>期限内</w:t>
      </w:r>
      <w:r>
        <w:rPr>
          <w:rFonts w:ascii="宋体" w:hAnsi="宋体"/>
          <w:szCs w:val="21"/>
        </w:rPr>
        <w:t>及时进行拔除和更换。</w:t>
      </w:r>
      <w:r>
        <w:rPr>
          <w:rFonts w:hint="eastAsia" w:ascii="宋体" w:hAnsi="宋体"/>
          <w:szCs w:val="21"/>
        </w:rPr>
        <w:t>若承包人不</w:t>
      </w:r>
      <w:r>
        <w:rPr>
          <w:rFonts w:ascii="宋体" w:hAnsi="宋体"/>
          <w:szCs w:val="21"/>
        </w:rPr>
        <w:t>响应</w:t>
      </w:r>
      <w:r>
        <w:rPr>
          <w:rFonts w:hint="eastAsia" w:ascii="宋体" w:hAnsi="宋体"/>
          <w:szCs w:val="21"/>
        </w:rPr>
        <w:t>，</w:t>
      </w:r>
      <w:r>
        <w:rPr>
          <w:rFonts w:ascii="宋体" w:hAnsi="宋体"/>
          <w:szCs w:val="21"/>
        </w:rPr>
        <w:t>发包人有权委托第三方单位进行更换，费用承包人承担，价格按当期市场价进行</w:t>
      </w:r>
      <w:r>
        <w:rPr>
          <w:rFonts w:hint="eastAsia" w:ascii="宋体" w:hAnsi="宋体"/>
          <w:szCs w:val="21"/>
        </w:rPr>
        <w:t>组价</w:t>
      </w:r>
      <w:r>
        <w:rPr>
          <w:rFonts w:ascii="宋体" w:hAnsi="宋体"/>
          <w:szCs w:val="21"/>
        </w:rPr>
        <w:t>，并以发包人与第三人结算价款的</w:t>
      </w:r>
      <w:r>
        <w:rPr>
          <w:rFonts w:hint="eastAsia" w:ascii="宋体" w:hAnsi="宋体"/>
          <w:szCs w:val="21"/>
        </w:rPr>
        <w:t>2倍</w:t>
      </w:r>
      <w:r>
        <w:rPr>
          <w:rFonts w:ascii="宋体" w:hAnsi="宋体"/>
          <w:szCs w:val="21"/>
        </w:rPr>
        <w:t>从承包人工程款中予以扣除。</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）管护责任期内因发包人原因要求对苗木进行移栽的，需移栽苗木经验收后，承包人无条件配合，发包人承担移栽费。</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pPr>
        <w:widowControl/>
        <w:adjustRightInd w:val="0"/>
        <w:snapToGrid w:val="0"/>
        <w:spacing w:line="400" w:lineRule="exact"/>
        <w:ind w:firstLine="420" w:firstLineChars="200"/>
        <w:jc w:val="left"/>
        <w:rPr>
          <w:rFonts w:ascii="宋体" w:hAnsi="宋体"/>
          <w:szCs w:val="21"/>
        </w:rPr>
      </w:pPr>
      <w:r>
        <w:rPr>
          <w:rFonts w:hint="eastAsia" w:ascii="宋体" w:hAnsi="宋体"/>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承包人违约应承担的上述违约责任，发包人可以直接在履约保证金或工程结算款中扣除。如承包人承担的违约责任，尚不弥补发包人的损失的，承包人还应当赔偿发包人的损失。</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w:t>
      </w:r>
      <w:r>
        <w:rPr>
          <w:rFonts w:ascii="宋体" w:hAnsi="宋体"/>
          <w:szCs w:val="21"/>
        </w:rPr>
        <w:t>.</w:t>
      </w:r>
      <w:r>
        <w:rPr>
          <w:rFonts w:hint="eastAsia" w:ascii="宋体" w:hAnsi="宋体"/>
          <w:szCs w:val="21"/>
        </w:rPr>
        <w:t>2</w:t>
      </w:r>
      <w:r>
        <w:rPr>
          <w:rFonts w:ascii="宋体" w:hAnsi="宋体"/>
          <w:szCs w:val="21"/>
        </w:rPr>
        <w:t xml:space="preserve">.4  </w:t>
      </w:r>
      <w:r>
        <w:rPr>
          <w:rFonts w:hint="eastAsia" w:ascii="宋体" w:hAnsi="宋体"/>
          <w:szCs w:val="21"/>
        </w:rPr>
        <w:t>因承包人违约</w:t>
      </w:r>
      <w:r>
        <w:rPr>
          <w:rFonts w:ascii="宋体" w:hAnsi="宋体"/>
          <w:szCs w:val="21"/>
        </w:rPr>
        <w:t>解除合同后的</w:t>
      </w:r>
      <w:r>
        <w:rPr>
          <w:rFonts w:hint="eastAsia" w:ascii="宋体" w:hAnsi="宋体"/>
          <w:szCs w:val="21"/>
        </w:rPr>
        <w:t>处理</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16.2.4.1</w:t>
      </w:r>
      <w:r>
        <w:rPr>
          <w:rFonts w:ascii="宋体" w:hAnsi="宋体"/>
          <w:szCs w:val="21"/>
        </w:rPr>
        <w:t>合同解除后，监理人</w:t>
      </w:r>
      <w:r>
        <w:rPr>
          <w:rFonts w:hint="eastAsia" w:ascii="宋体" w:hAnsi="宋体"/>
          <w:szCs w:val="21"/>
        </w:rPr>
        <w:t>及工程造价咨询机构</w:t>
      </w:r>
      <w:r>
        <w:rPr>
          <w:rFonts w:ascii="宋体" w:hAnsi="宋体"/>
          <w:szCs w:val="21"/>
        </w:rPr>
        <w:t>按实确定承包人实际完成工作的价值，包括承包人已提供的材料、施工设备、工程设备和临时工程等的价值。</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16.2.4.2</w:t>
      </w:r>
      <w:r>
        <w:rPr>
          <w:rFonts w:ascii="宋体" w:hAnsi="宋体"/>
          <w:szCs w:val="21"/>
        </w:rPr>
        <w:t>合同解除后，发包人暂停对承包人的一切付款，查清各项付款和已扣款金额（包括承包人应支付的违约金）。</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16.2.4.3</w:t>
      </w:r>
      <w:r>
        <w:rPr>
          <w:rFonts w:ascii="宋体" w:hAnsi="宋体"/>
          <w:szCs w:val="21"/>
        </w:rPr>
        <w:t>合同解除后7天内</w:t>
      </w:r>
      <w:r>
        <w:rPr>
          <w:rFonts w:hint="eastAsia" w:ascii="宋体" w:hAnsi="宋体"/>
          <w:szCs w:val="21"/>
        </w:rPr>
        <w:t>，承包人</w:t>
      </w:r>
      <w:r>
        <w:rPr>
          <w:rFonts w:ascii="宋体" w:hAnsi="宋体"/>
          <w:szCs w:val="21"/>
        </w:rPr>
        <w:t>无条件撤出施工场地，并配合发包人后期管理</w:t>
      </w:r>
      <w:r>
        <w:rPr>
          <w:rFonts w:hint="eastAsia" w:ascii="宋体" w:hAnsi="宋体"/>
          <w:szCs w:val="21"/>
        </w:rPr>
        <w:t>。</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16.2.4.4</w:t>
      </w:r>
      <w:r>
        <w:rPr>
          <w:rFonts w:ascii="宋体" w:hAnsi="宋体"/>
          <w:szCs w:val="21"/>
        </w:rPr>
        <w:t>合同解除后</w:t>
      </w:r>
      <w:r>
        <w:rPr>
          <w:rFonts w:hint="eastAsia" w:ascii="宋体" w:hAnsi="宋体"/>
          <w:szCs w:val="21"/>
        </w:rPr>
        <w:t>，</w:t>
      </w:r>
      <w:r>
        <w:rPr>
          <w:rFonts w:ascii="宋体" w:hAnsi="宋体"/>
          <w:szCs w:val="21"/>
        </w:rPr>
        <w:t>发包人就承包人完成的合格工程进行核算，经审计后按结算金额的80%支付</w:t>
      </w:r>
      <w:r>
        <w:rPr>
          <w:rFonts w:hint="eastAsia" w:ascii="宋体" w:hAnsi="宋体"/>
          <w:szCs w:val="21"/>
        </w:rPr>
        <w:t>，其余2</w:t>
      </w:r>
      <w:r>
        <w:rPr>
          <w:rFonts w:ascii="宋体" w:hAnsi="宋体"/>
          <w:szCs w:val="21"/>
        </w:rPr>
        <w:t>0%</w:t>
      </w:r>
      <w:r>
        <w:rPr>
          <w:rFonts w:hint="eastAsia" w:ascii="宋体" w:hAnsi="宋体"/>
          <w:szCs w:val="21"/>
        </w:rPr>
        <w:t>作为违约金予以扣除。</w:t>
      </w:r>
    </w:p>
    <w:p>
      <w:pPr>
        <w:widowControl/>
        <w:autoSpaceDE w:val="0"/>
        <w:autoSpaceDN w:val="0"/>
        <w:adjustRightInd w:val="0"/>
        <w:spacing w:line="400" w:lineRule="exact"/>
        <w:outlineLvl w:val="3"/>
        <w:rPr>
          <w:rFonts w:ascii="宋体" w:hAnsi="宋体"/>
          <w:b/>
          <w:szCs w:val="21"/>
        </w:rPr>
      </w:pPr>
      <w:r>
        <w:rPr>
          <w:rFonts w:ascii="宋体" w:hAnsi="宋体"/>
          <w:b/>
          <w:szCs w:val="21"/>
        </w:rPr>
        <w:t>17. 不可抗力</w:t>
      </w:r>
      <w:bookmarkEnd w:id="710"/>
      <w:bookmarkEnd w:id="712"/>
    </w:p>
    <w:p>
      <w:pPr>
        <w:widowControl/>
        <w:spacing w:line="400" w:lineRule="exact"/>
        <w:ind w:firstLine="315" w:firstLineChars="150"/>
        <w:jc w:val="left"/>
        <w:rPr>
          <w:rFonts w:ascii="宋体" w:hAnsi="宋体"/>
          <w:szCs w:val="21"/>
        </w:rPr>
      </w:pPr>
      <w:r>
        <w:rPr>
          <w:rFonts w:ascii="宋体" w:hAnsi="宋体"/>
          <w:szCs w:val="21"/>
        </w:rPr>
        <w:t>17.1 不可抗力的确认</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17.3不可抗力后果及其处理</w:t>
      </w:r>
    </w:p>
    <w:p>
      <w:pPr>
        <w:widowControl/>
        <w:adjustRightInd w:val="0"/>
        <w:snapToGrid w:val="0"/>
        <w:spacing w:line="400" w:lineRule="exact"/>
        <w:ind w:firstLine="315" w:firstLineChars="150"/>
        <w:jc w:val="left"/>
        <w:rPr>
          <w:rFonts w:ascii="宋体" w:hAnsi="宋体"/>
          <w:szCs w:val="21"/>
        </w:rPr>
      </w:pPr>
      <w:r>
        <w:rPr>
          <w:rFonts w:hint="eastAsia" w:ascii="宋体" w:hAnsi="宋体"/>
          <w:szCs w:val="21"/>
        </w:rPr>
        <w:t>17.3.1不可抗力造成损害的责任</w:t>
      </w:r>
    </w:p>
    <w:p>
      <w:pPr>
        <w:widowControl/>
        <w:adjustRightInd w:val="0"/>
        <w:snapToGrid w:val="0"/>
        <w:spacing w:line="400" w:lineRule="exact"/>
        <w:jc w:val="left"/>
        <w:rPr>
          <w:rFonts w:ascii="宋体" w:hAnsi="宋体"/>
          <w:szCs w:val="21"/>
        </w:rPr>
      </w:pPr>
      <w:r>
        <w:rPr>
          <w:rFonts w:hint="eastAsia" w:ascii="宋体" w:hAnsi="宋体"/>
          <w:szCs w:val="21"/>
        </w:rPr>
        <w:t>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pPr>
        <w:widowControl/>
        <w:adjustRightInd w:val="0"/>
        <w:snapToGrid w:val="0"/>
        <w:spacing w:line="400" w:lineRule="exact"/>
        <w:ind w:firstLine="210" w:firstLineChars="100"/>
        <w:jc w:val="left"/>
        <w:rPr>
          <w:rFonts w:ascii="宋体" w:hAnsi="宋体"/>
          <w:szCs w:val="21"/>
        </w:rPr>
      </w:pPr>
      <w:r>
        <w:rPr>
          <w:rFonts w:hint="eastAsia" w:ascii="宋体" w:hAnsi="宋体"/>
          <w:szCs w:val="21"/>
        </w:rPr>
        <w:t>（1）工程本身的损害、因工程损害导致第三方人员伤亡和财产损失以及运至施工现场用于施工的材料和待安装的设备的损害，由发包人承担；</w:t>
      </w:r>
    </w:p>
    <w:p>
      <w:pPr>
        <w:widowControl/>
        <w:adjustRightInd w:val="0"/>
        <w:snapToGrid w:val="0"/>
        <w:spacing w:line="400" w:lineRule="exact"/>
        <w:ind w:firstLine="210" w:firstLineChars="100"/>
        <w:jc w:val="left"/>
        <w:rPr>
          <w:rFonts w:ascii="宋体" w:hAnsi="宋体"/>
          <w:szCs w:val="21"/>
        </w:rPr>
      </w:pPr>
      <w:r>
        <w:rPr>
          <w:rFonts w:hint="eastAsia" w:ascii="宋体" w:hAnsi="宋体"/>
          <w:szCs w:val="21"/>
        </w:rPr>
        <w:t>（2）发包人、承包人人员伤亡由其所在单位负责，并承担相应费用；</w:t>
      </w:r>
    </w:p>
    <w:p>
      <w:pPr>
        <w:widowControl/>
        <w:adjustRightInd w:val="0"/>
        <w:snapToGrid w:val="0"/>
        <w:spacing w:line="400" w:lineRule="exact"/>
        <w:ind w:firstLine="210" w:firstLineChars="100"/>
        <w:jc w:val="left"/>
        <w:rPr>
          <w:rFonts w:ascii="宋体" w:hAnsi="宋体"/>
          <w:szCs w:val="21"/>
        </w:rPr>
      </w:pPr>
      <w:r>
        <w:rPr>
          <w:rFonts w:hint="eastAsia" w:ascii="宋体" w:hAnsi="宋体"/>
          <w:szCs w:val="21"/>
        </w:rPr>
        <w:t>（3）承包人的施工机械设备的损坏及停工损失，由承包人承担；</w:t>
      </w:r>
    </w:p>
    <w:p>
      <w:pPr>
        <w:widowControl/>
        <w:adjustRightInd w:val="0"/>
        <w:snapToGrid w:val="0"/>
        <w:spacing w:line="400" w:lineRule="exact"/>
        <w:ind w:firstLine="210" w:firstLineChars="100"/>
        <w:jc w:val="left"/>
        <w:rPr>
          <w:rFonts w:ascii="宋体" w:hAnsi="宋体"/>
          <w:szCs w:val="21"/>
        </w:rPr>
      </w:pPr>
      <w:r>
        <w:rPr>
          <w:rFonts w:hint="eastAsia" w:ascii="宋体" w:hAnsi="宋体"/>
          <w:szCs w:val="21"/>
        </w:rPr>
        <w:t>（4）停工期间，承包人应发包人要求留在施工现场的必要的管理人员及保卫人员的费用，由发包人承担；</w:t>
      </w:r>
    </w:p>
    <w:p>
      <w:pPr>
        <w:widowControl/>
        <w:adjustRightInd w:val="0"/>
        <w:snapToGrid w:val="0"/>
        <w:spacing w:line="400" w:lineRule="exact"/>
        <w:ind w:firstLine="210" w:firstLineChars="100"/>
        <w:jc w:val="left"/>
        <w:rPr>
          <w:rFonts w:ascii="宋体" w:hAnsi="宋体"/>
          <w:b/>
          <w:szCs w:val="21"/>
        </w:rPr>
      </w:pPr>
      <w:r>
        <w:rPr>
          <w:rFonts w:hint="eastAsia" w:ascii="宋体" w:hAnsi="宋体"/>
          <w:szCs w:val="21"/>
        </w:rPr>
        <w:t>（5）工程所需清理、修复费用，由发包人承担。</w:t>
      </w:r>
    </w:p>
    <w:p>
      <w:pPr>
        <w:widowControl/>
        <w:spacing w:line="400" w:lineRule="exact"/>
        <w:ind w:firstLine="420" w:firstLineChars="200"/>
        <w:jc w:val="left"/>
        <w:rPr>
          <w:rFonts w:ascii="宋体" w:hAnsi="宋体"/>
          <w:szCs w:val="21"/>
        </w:rPr>
      </w:pPr>
      <w:r>
        <w:rPr>
          <w:rFonts w:ascii="宋体" w:hAnsi="宋体"/>
          <w:szCs w:val="21"/>
        </w:rPr>
        <w:t>17.4 因不可抗力解除合同</w:t>
      </w:r>
    </w:p>
    <w:p>
      <w:pPr>
        <w:widowControl/>
        <w:spacing w:line="400" w:lineRule="exact"/>
        <w:ind w:firstLine="420" w:firstLineChars="200"/>
        <w:jc w:val="left"/>
        <w:rPr>
          <w:rFonts w:ascii="宋体" w:hAnsi="宋体"/>
          <w:szCs w:val="21"/>
        </w:rPr>
      </w:pPr>
      <w:r>
        <w:rPr>
          <w:rFonts w:ascii="宋体" w:hAnsi="宋体"/>
          <w:szCs w:val="21"/>
        </w:rPr>
        <w:t>合同解除后，发包人应在商定或确定发包人应支付款项后28天内完成款项的支付。</w:t>
      </w:r>
    </w:p>
    <w:p>
      <w:pPr>
        <w:widowControl/>
        <w:autoSpaceDE w:val="0"/>
        <w:autoSpaceDN w:val="0"/>
        <w:adjustRightInd w:val="0"/>
        <w:spacing w:line="400" w:lineRule="exact"/>
        <w:outlineLvl w:val="3"/>
        <w:rPr>
          <w:rFonts w:ascii="宋体" w:hAnsi="宋体" w:cs="MingLiU"/>
          <w:b/>
          <w:szCs w:val="21"/>
        </w:rPr>
      </w:pPr>
      <w:bookmarkStart w:id="713" w:name="_Toc351203650"/>
      <w:r>
        <w:rPr>
          <w:rFonts w:ascii="宋体" w:hAnsi="宋体" w:cs="MingLiU"/>
          <w:b/>
          <w:szCs w:val="21"/>
        </w:rPr>
        <w:t>18. 保险</w:t>
      </w:r>
      <w:bookmarkEnd w:id="713"/>
    </w:p>
    <w:bookmarkEnd w:id="711"/>
    <w:p>
      <w:pPr>
        <w:widowControl/>
        <w:spacing w:line="400" w:lineRule="exact"/>
        <w:ind w:firstLine="420" w:firstLineChars="200"/>
        <w:jc w:val="left"/>
        <w:rPr>
          <w:rFonts w:ascii="宋体" w:hAnsi="宋体"/>
          <w:szCs w:val="21"/>
        </w:rPr>
      </w:pPr>
      <w:r>
        <w:rPr>
          <w:rFonts w:ascii="宋体" w:hAnsi="宋体"/>
          <w:szCs w:val="21"/>
        </w:rPr>
        <w:t>18.1 工程保险</w:t>
      </w:r>
    </w:p>
    <w:p>
      <w:pPr>
        <w:widowControl/>
        <w:spacing w:line="400" w:lineRule="exact"/>
        <w:ind w:firstLine="315" w:firstLineChars="150"/>
        <w:jc w:val="left"/>
        <w:rPr>
          <w:rFonts w:ascii="宋体" w:hAnsi="宋体" w:cs="宋体"/>
          <w:szCs w:val="21"/>
        </w:rPr>
      </w:pPr>
      <w:r>
        <w:rPr>
          <w:rFonts w:ascii="宋体" w:hAnsi="宋体"/>
          <w:szCs w:val="21"/>
        </w:rPr>
        <w:t>关于工程保险的特别约定：</w:t>
      </w:r>
      <w:r>
        <w:rPr>
          <w:rFonts w:hint="eastAsia" w:ascii="宋体" w:hAnsi="宋体" w:cs="宋体"/>
          <w:szCs w:val="21"/>
        </w:rPr>
        <w:t>投保内容</w:t>
      </w:r>
      <w:r>
        <w:rPr>
          <w:rFonts w:hint="eastAsia" w:ascii="宋体" w:hAnsi="宋体" w:cs="宋体"/>
          <w:szCs w:val="21"/>
          <w:u w:val="single"/>
        </w:rPr>
        <w:t>按《重庆市建设工程安全生产监督管理暂行办法》办理。</w:t>
      </w:r>
      <w:r>
        <w:rPr>
          <w:rFonts w:hint="eastAsia" w:ascii="宋体" w:hAnsi="宋体" w:cs="宋体"/>
          <w:szCs w:val="21"/>
        </w:rPr>
        <w:t>保险金额、保险费率和保险期限：</w:t>
      </w:r>
      <w:r>
        <w:rPr>
          <w:rFonts w:hint="eastAsia" w:ascii="宋体" w:hAnsi="宋体" w:cs="宋体"/>
          <w:szCs w:val="21"/>
          <w:u w:val="single"/>
        </w:rPr>
        <w:t>保险金额及保险费率按重庆市相关规定执行，保险期限为本合同项下工程开工之日起至工程竣工验收合格之日止</w:t>
      </w:r>
      <w:r>
        <w:rPr>
          <w:rFonts w:hint="eastAsia" w:ascii="宋体" w:hAnsi="宋体" w:cs="宋体"/>
          <w:szCs w:val="21"/>
        </w:rPr>
        <w:t>。</w:t>
      </w:r>
    </w:p>
    <w:p>
      <w:pPr>
        <w:widowControl/>
        <w:spacing w:line="400" w:lineRule="exact"/>
        <w:ind w:firstLine="420" w:firstLineChars="200"/>
        <w:jc w:val="left"/>
        <w:rPr>
          <w:rFonts w:ascii="宋体" w:hAnsi="宋体"/>
          <w:szCs w:val="21"/>
        </w:rPr>
      </w:pPr>
      <w:r>
        <w:rPr>
          <w:rFonts w:ascii="宋体" w:hAnsi="宋体"/>
          <w:szCs w:val="21"/>
        </w:rPr>
        <w:t>18.3 其他保险</w:t>
      </w:r>
    </w:p>
    <w:p>
      <w:pPr>
        <w:widowControl/>
        <w:spacing w:line="400" w:lineRule="exact"/>
        <w:ind w:firstLine="315" w:firstLineChars="150"/>
        <w:jc w:val="left"/>
        <w:rPr>
          <w:rFonts w:ascii="宋体" w:hAnsi="宋体"/>
          <w:szCs w:val="21"/>
        </w:rPr>
      </w:pPr>
      <w:r>
        <w:rPr>
          <w:rFonts w:ascii="宋体" w:hAnsi="宋体"/>
          <w:szCs w:val="21"/>
        </w:rPr>
        <w:t>关于其他保险的约定：</w:t>
      </w:r>
      <w:r>
        <w:rPr>
          <w:rFonts w:hint="eastAsia" w:ascii="宋体" w:hAnsi="宋体" w:cs="宋体"/>
          <w:szCs w:val="21"/>
          <w:u w:val="single"/>
        </w:rPr>
        <w:t>需要投保其他内容</w:t>
      </w:r>
      <w:r>
        <w:rPr>
          <w:rFonts w:hint="eastAsia" w:ascii="宋体" w:hAnsi="宋体" w:cs="宋体"/>
          <w:szCs w:val="21"/>
        </w:rPr>
        <w:t>、保险金额、费率及期限等：由承包人</w:t>
      </w:r>
      <w:r>
        <w:rPr>
          <w:rFonts w:hint="eastAsia" w:ascii="宋体" w:hAnsi="宋体" w:cs="宋体"/>
          <w:szCs w:val="21"/>
          <w:u w:val="single"/>
        </w:rPr>
        <w:t>按重庆市的相关规定交纳</w:t>
      </w:r>
      <w:r>
        <w:rPr>
          <w:rFonts w:hint="eastAsia" w:ascii="宋体" w:hAnsi="宋体" w:cs="宋体"/>
          <w:szCs w:val="21"/>
        </w:rPr>
        <w:t>。</w:t>
      </w:r>
    </w:p>
    <w:p>
      <w:pPr>
        <w:widowControl/>
        <w:spacing w:line="400" w:lineRule="exact"/>
        <w:ind w:firstLine="420" w:firstLineChars="200"/>
        <w:jc w:val="left"/>
        <w:rPr>
          <w:rFonts w:ascii="宋体" w:hAnsi="宋体"/>
          <w:szCs w:val="21"/>
        </w:rPr>
      </w:pPr>
      <w:r>
        <w:rPr>
          <w:rFonts w:ascii="宋体" w:hAnsi="宋体"/>
          <w:szCs w:val="21"/>
        </w:rPr>
        <w:t>18.7 通知义务</w:t>
      </w:r>
    </w:p>
    <w:p>
      <w:pPr>
        <w:widowControl/>
        <w:spacing w:line="400" w:lineRule="exact"/>
        <w:ind w:firstLine="420" w:firstLineChars="200"/>
        <w:jc w:val="left"/>
        <w:rPr>
          <w:rFonts w:ascii="宋体" w:hAnsi="宋体"/>
          <w:szCs w:val="21"/>
          <w:u w:val="single"/>
        </w:rPr>
      </w:pPr>
      <w:r>
        <w:rPr>
          <w:rFonts w:ascii="宋体" w:hAnsi="宋体"/>
          <w:kern w:val="0"/>
          <w:szCs w:val="21"/>
        </w:rPr>
        <w:t>关于变更保险合同时的通知义务的约定：</w:t>
      </w:r>
      <w:r>
        <w:rPr>
          <w:rFonts w:hint="eastAsia" w:ascii="宋体" w:hAnsi="宋体"/>
          <w:kern w:val="0"/>
          <w:szCs w:val="21"/>
          <w:u w:val="single"/>
        </w:rPr>
        <w:t>提前三日通知</w:t>
      </w:r>
      <w:r>
        <w:rPr>
          <w:rFonts w:ascii="宋体" w:hAnsi="宋体"/>
          <w:szCs w:val="21"/>
        </w:rPr>
        <w:t>。</w:t>
      </w:r>
    </w:p>
    <w:bookmarkEnd w:id="687"/>
    <w:bookmarkEnd w:id="688"/>
    <w:bookmarkEnd w:id="689"/>
    <w:bookmarkEnd w:id="690"/>
    <w:bookmarkEnd w:id="691"/>
    <w:bookmarkEnd w:id="692"/>
    <w:bookmarkEnd w:id="693"/>
    <w:bookmarkEnd w:id="694"/>
    <w:bookmarkEnd w:id="695"/>
    <w:bookmarkEnd w:id="696"/>
    <w:bookmarkEnd w:id="697"/>
    <w:bookmarkEnd w:id="698"/>
    <w:p>
      <w:pPr>
        <w:widowControl/>
        <w:autoSpaceDE w:val="0"/>
        <w:autoSpaceDN w:val="0"/>
        <w:adjustRightInd w:val="0"/>
        <w:spacing w:line="400" w:lineRule="exact"/>
        <w:outlineLvl w:val="3"/>
        <w:rPr>
          <w:rFonts w:ascii="宋体" w:hAnsi="宋体"/>
          <w:b/>
          <w:kern w:val="0"/>
          <w:szCs w:val="21"/>
        </w:rPr>
      </w:pPr>
      <w:bookmarkStart w:id="714" w:name="_Toc351203651"/>
      <w:r>
        <w:rPr>
          <w:rFonts w:ascii="宋体" w:hAnsi="宋体"/>
          <w:b/>
          <w:kern w:val="0"/>
          <w:szCs w:val="21"/>
        </w:rPr>
        <w:t>20. 争议解决</w:t>
      </w:r>
      <w:bookmarkEnd w:id="714"/>
    </w:p>
    <w:bookmarkEnd w:id="699"/>
    <w:bookmarkEnd w:id="700"/>
    <w:bookmarkEnd w:id="701"/>
    <w:bookmarkEnd w:id="702"/>
    <w:bookmarkEnd w:id="703"/>
    <w:bookmarkEnd w:id="704"/>
    <w:bookmarkEnd w:id="705"/>
    <w:bookmarkEnd w:id="706"/>
    <w:bookmarkEnd w:id="707"/>
    <w:bookmarkEnd w:id="708"/>
    <w:p>
      <w:pPr>
        <w:widowControl/>
        <w:spacing w:line="400" w:lineRule="exact"/>
        <w:ind w:firstLine="420" w:firstLineChars="200"/>
        <w:jc w:val="left"/>
        <w:rPr>
          <w:rFonts w:ascii="宋体" w:hAnsi="宋体"/>
          <w:szCs w:val="21"/>
        </w:rPr>
      </w:pPr>
      <w:r>
        <w:rPr>
          <w:rFonts w:hint="eastAsia" w:ascii="宋体" w:hAnsi="宋体"/>
          <w:szCs w:val="21"/>
        </w:rPr>
        <w:t>因本合同引起的或与本合同有关的任何争议，合同双方友好协商不成、不愿提请争议组评审或者不愿接受争议评审组意见的，向工程所在地有管辖权的人民法院提起诉讼。由此产生</w:t>
      </w:r>
      <w:r>
        <w:rPr>
          <w:rFonts w:ascii="宋体" w:hAnsi="宋体"/>
          <w:szCs w:val="21"/>
        </w:rPr>
        <w:t>的诉讼费、鉴定费、保全费、律师费、差旅费等，概由败诉方承担。</w:t>
      </w:r>
    </w:p>
    <w:p>
      <w:pPr>
        <w:widowControl/>
        <w:jc w:val="left"/>
        <w:rPr>
          <w:rFonts w:ascii="宋体" w:hAnsi="宋体"/>
        </w:rPr>
      </w:pPr>
    </w:p>
    <w:p>
      <w:pPr>
        <w:widowControl/>
        <w:jc w:val="left"/>
        <w:rPr>
          <w:rFonts w:ascii="宋体" w:hAnsi="宋体"/>
        </w:rPr>
      </w:pPr>
      <w:r>
        <w:rPr>
          <w:rFonts w:hint="eastAsia" w:ascii="宋体" w:hAnsi="宋体"/>
        </w:rPr>
        <w:t>附加条款：</w:t>
      </w:r>
    </w:p>
    <w:p>
      <w:pPr>
        <w:widowControl/>
        <w:adjustRightInd w:val="0"/>
        <w:snapToGrid w:val="0"/>
        <w:spacing w:line="360" w:lineRule="auto"/>
        <w:ind w:firstLine="420" w:firstLineChars="200"/>
        <w:jc w:val="left"/>
        <w:rPr>
          <w:rFonts w:ascii="宋体" w:hAnsi="宋体"/>
        </w:rPr>
      </w:pPr>
      <w:r>
        <w:rPr>
          <w:rFonts w:hint="eastAsia" w:ascii="宋体" w:hAnsi="宋体" w:cs="宋体"/>
          <w:szCs w:val="21"/>
        </w:rPr>
        <w:t>（5）</w:t>
      </w:r>
      <w:r>
        <w:rPr>
          <w:rFonts w:hint="eastAsia" w:ascii="宋体" w:hAnsi="宋体"/>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pPr>
        <w:widowControl/>
        <w:adjustRightInd w:val="0"/>
        <w:snapToGrid w:val="0"/>
        <w:spacing w:line="360" w:lineRule="auto"/>
        <w:ind w:firstLine="420" w:firstLineChars="200"/>
        <w:jc w:val="left"/>
        <w:rPr>
          <w:rFonts w:ascii="宋体" w:hAnsi="宋体"/>
        </w:rPr>
      </w:pPr>
      <w:r>
        <w:rPr>
          <w:rFonts w:hint="eastAsia" w:ascii="宋体" w:hAnsi="宋体"/>
        </w:rPr>
        <w:t>21.2退出机制</w:t>
      </w:r>
    </w:p>
    <w:p>
      <w:pPr>
        <w:widowControl/>
        <w:adjustRightInd w:val="0"/>
        <w:snapToGrid w:val="0"/>
        <w:spacing w:line="360" w:lineRule="auto"/>
        <w:ind w:firstLine="420" w:firstLineChars="200"/>
        <w:jc w:val="left"/>
        <w:rPr>
          <w:rFonts w:ascii="宋体" w:hAnsi="宋体"/>
        </w:rPr>
      </w:pPr>
      <w:r>
        <w:rPr>
          <w:rFonts w:hint="eastAsia" w:ascii="宋体" w:hAnsi="宋体"/>
        </w:rPr>
        <w:t>21.2.1 因承包人原因造成重大安全责任事故和重大质量事故的，将予以清退出场，三年内不能参与发包人负责项目的工作；</w:t>
      </w:r>
    </w:p>
    <w:p>
      <w:pPr>
        <w:widowControl/>
        <w:adjustRightInd w:val="0"/>
        <w:snapToGrid w:val="0"/>
        <w:spacing w:line="360" w:lineRule="auto"/>
        <w:ind w:firstLine="420" w:firstLineChars="200"/>
        <w:jc w:val="left"/>
        <w:rPr>
          <w:rFonts w:ascii="宋体" w:hAnsi="宋体"/>
        </w:rPr>
      </w:pPr>
      <w:r>
        <w:rPr>
          <w:rFonts w:hint="eastAsia" w:ascii="宋体" w:hAnsi="宋体"/>
        </w:rPr>
        <w:t>21.2.2承包人在本项目工作过程中，发生违法乱纪、行贿行为或因此受到法律、法规制裁的，发包人根据具体情况，有权对承包人进行清退出场的处理。</w:t>
      </w:r>
    </w:p>
    <w:p>
      <w:pPr>
        <w:widowControl/>
        <w:adjustRightInd w:val="0"/>
        <w:snapToGrid w:val="0"/>
        <w:spacing w:line="360" w:lineRule="auto"/>
        <w:ind w:firstLine="420" w:firstLineChars="200"/>
        <w:jc w:val="left"/>
        <w:rPr>
          <w:rFonts w:ascii="宋体" w:hAnsi="宋体"/>
        </w:rPr>
      </w:pPr>
      <w:r>
        <w:rPr>
          <w:rFonts w:hint="eastAsia" w:ascii="宋体" w:hAnsi="宋体"/>
        </w:rPr>
        <w:t>21.2.3本</w:t>
      </w:r>
      <w:r>
        <w:rPr>
          <w:rFonts w:ascii="宋体" w:hAnsi="宋体"/>
        </w:rPr>
        <w:t>合同</w:t>
      </w:r>
      <w:r>
        <w:rPr>
          <w:rFonts w:hint="eastAsia" w:ascii="宋体" w:hAnsi="宋体"/>
        </w:rPr>
        <w:t>解除</w:t>
      </w:r>
      <w:r>
        <w:rPr>
          <w:rFonts w:ascii="宋体" w:hAnsi="宋体"/>
        </w:rPr>
        <w:t>，</w:t>
      </w:r>
      <w:r>
        <w:rPr>
          <w:rFonts w:hint="eastAsia" w:ascii="宋体" w:hAnsi="宋体"/>
        </w:rPr>
        <w:t>承包人</w:t>
      </w:r>
      <w:r>
        <w:rPr>
          <w:rFonts w:ascii="宋体" w:hAnsi="宋体"/>
        </w:rPr>
        <w:t>被清退出场的，发包人按照合格工程</w:t>
      </w:r>
      <w:r>
        <w:rPr>
          <w:rFonts w:hint="eastAsia" w:ascii="宋体" w:hAnsi="宋体"/>
        </w:rPr>
        <w:t>量进行</w:t>
      </w:r>
      <w:r>
        <w:rPr>
          <w:rFonts w:ascii="宋体" w:hAnsi="宋体"/>
        </w:rPr>
        <w:t>核算，</w:t>
      </w:r>
      <w:r>
        <w:rPr>
          <w:rFonts w:hint="eastAsia" w:ascii="宋体" w:hAnsi="宋体"/>
        </w:rPr>
        <w:t>仅以</w:t>
      </w:r>
      <w:r>
        <w:rPr>
          <w:rFonts w:ascii="宋体" w:hAnsi="宋体"/>
        </w:rPr>
        <w:t>核算金额的</w:t>
      </w:r>
      <w:r>
        <w:rPr>
          <w:rFonts w:hint="eastAsia" w:ascii="宋体" w:hAnsi="宋体"/>
        </w:rPr>
        <w:t>80</w:t>
      </w:r>
      <w:r>
        <w:rPr>
          <w:rFonts w:ascii="宋体" w:hAnsi="宋体"/>
        </w:rPr>
        <w:t>%</w:t>
      </w:r>
      <w:r>
        <w:rPr>
          <w:rFonts w:hint="eastAsia" w:ascii="宋体" w:hAnsi="宋体"/>
        </w:rPr>
        <w:t>向</w:t>
      </w:r>
      <w:r>
        <w:rPr>
          <w:rFonts w:ascii="宋体" w:hAnsi="宋体"/>
        </w:rPr>
        <w:t>承包人</w:t>
      </w:r>
      <w:r>
        <w:rPr>
          <w:rFonts w:hint="eastAsia" w:ascii="宋体" w:hAnsi="宋体"/>
        </w:rPr>
        <w:t>进行</w:t>
      </w:r>
      <w:r>
        <w:rPr>
          <w:rFonts w:ascii="宋体" w:hAnsi="宋体"/>
        </w:rPr>
        <w:t>支付。</w:t>
      </w: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sectPr>
          <w:pgSz w:w="11906" w:h="16838"/>
          <w:pgMar w:top="1440" w:right="1800" w:bottom="1440" w:left="1800" w:header="851" w:footer="992" w:gutter="0"/>
          <w:cols w:space="720" w:num="1"/>
          <w:docGrid w:type="lines" w:linePitch="312" w:charSpace="0"/>
        </w:sectPr>
      </w:pPr>
    </w:p>
    <w:p>
      <w:pPr>
        <w:widowControl/>
        <w:jc w:val="left"/>
        <w:rPr>
          <w:rFonts w:ascii="宋体" w:hAnsi="宋体"/>
        </w:rPr>
      </w:pPr>
      <w:r>
        <w:rPr>
          <w:rFonts w:hint="eastAsia" w:ascii="宋体" w:hAnsi="宋体"/>
        </w:rPr>
        <w:t>附件一：</w:t>
      </w:r>
    </w:p>
    <w:p>
      <w:pPr>
        <w:widowControl/>
        <w:jc w:val="left"/>
        <w:rPr>
          <w:rFonts w:ascii="宋体" w:hAnsi="宋体"/>
        </w:rPr>
      </w:pPr>
    </w:p>
    <w:tbl>
      <w:tblPr>
        <w:tblStyle w:val="49"/>
        <w:tblW w:w="13897" w:type="dxa"/>
        <w:tblInd w:w="0" w:type="dxa"/>
        <w:tblLayout w:type="fixed"/>
        <w:tblCellMar>
          <w:top w:w="0" w:type="dxa"/>
          <w:left w:w="108" w:type="dxa"/>
          <w:bottom w:w="0" w:type="dxa"/>
          <w:right w:w="108" w:type="dxa"/>
        </w:tblCellMar>
      </w:tblPr>
      <w:tblGrid>
        <w:gridCol w:w="440"/>
        <w:gridCol w:w="1247"/>
        <w:gridCol w:w="1050"/>
        <w:gridCol w:w="2625"/>
        <w:gridCol w:w="1575"/>
        <w:gridCol w:w="2160"/>
        <w:gridCol w:w="2805"/>
        <w:gridCol w:w="1995"/>
      </w:tblGrid>
      <w:tr>
        <w:tblPrEx>
          <w:tblLayout w:type="fixed"/>
          <w:tblCellMar>
            <w:top w:w="0" w:type="dxa"/>
            <w:left w:w="108" w:type="dxa"/>
            <w:bottom w:w="0" w:type="dxa"/>
            <w:right w:w="108" w:type="dxa"/>
          </w:tblCellMar>
        </w:tblPrEx>
        <w:trPr>
          <w:trHeight w:val="495" w:hRule="atLeast"/>
        </w:trPr>
        <w:tc>
          <w:tcPr>
            <w:tcW w:w="13897" w:type="dxa"/>
            <w:gridSpan w:val="8"/>
            <w:vAlign w:val="center"/>
          </w:tcPr>
          <w:p>
            <w:pPr>
              <w:widowControl/>
              <w:autoSpaceDN w:val="0"/>
              <w:jc w:val="center"/>
              <w:textAlignment w:val="center"/>
              <w:rPr>
                <w:rFonts w:ascii="宋体" w:hAnsi="宋体"/>
                <w:sz w:val="36"/>
              </w:rPr>
            </w:pPr>
            <w:r>
              <w:rPr>
                <w:rFonts w:hint="eastAsia" w:ascii="宋体" w:hAnsi="宋体"/>
                <w:sz w:val="36"/>
              </w:rPr>
              <w:t xml:space="preserve">农民工工资支付表 </w:t>
            </w:r>
          </w:p>
        </w:tc>
      </w:tr>
      <w:tr>
        <w:tblPrEx>
          <w:tblLayout w:type="fixed"/>
          <w:tblCellMar>
            <w:top w:w="0" w:type="dxa"/>
            <w:left w:w="108" w:type="dxa"/>
            <w:bottom w:w="0" w:type="dxa"/>
            <w:right w:w="108" w:type="dxa"/>
          </w:tblCellMar>
        </w:tblPrEx>
        <w:trPr>
          <w:trHeight w:val="495" w:hRule="atLeast"/>
        </w:trPr>
        <w:tc>
          <w:tcPr>
            <w:tcW w:w="440"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1247"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1050"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2625"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1575"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2160"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2805" w:type="dxa"/>
            <w:tcBorders>
              <w:top w:val="nil"/>
              <w:left w:val="nil"/>
              <w:bottom w:val="single" w:color="000000" w:sz="4" w:space="0"/>
              <w:right w:val="nil"/>
            </w:tcBorders>
            <w:vAlign w:val="center"/>
          </w:tcPr>
          <w:p>
            <w:pPr>
              <w:widowControl/>
              <w:autoSpaceDN w:val="0"/>
              <w:jc w:val="center"/>
              <w:textAlignment w:val="center"/>
              <w:rPr>
                <w:rFonts w:ascii="宋体" w:hAnsi="宋体"/>
                <w:sz w:val="36"/>
              </w:rPr>
            </w:pPr>
          </w:p>
        </w:tc>
        <w:tc>
          <w:tcPr>
            <w:tcW w:w="1995" w:type="dxa"/>
            <w:tcBorders>
              <w:top w:val="nil"/>
              <w:left w:val="nil"/>
              <w:bottom w:val="single" w:color="000000" w:sz="4" w:space="0"/>
              <w:right w:val="nil"/>
            </w:tcBorders>
            <w:vAlign w:val="center"/>
          </w:tcPr>
          <w:p>
            <w:pPr>
              <w:widowControl/>
              <w:autoSpaceDN w:val="0"/>
              <w:jc w:val="right"/>
              <w:textAlignment w:val="center"/>
              <w:rPr>
                <w:rFonts w:ascii="宋体" w:hAnsi="宋体"/>
                <w:sz w:val="32"/>
              </w:rPr>
            </w:pPr>
            <w:r>
              <w:rPr>
                <w:rFonts w:hint="eastAsia" w:ascii="宋体" w:hAnsi="宋体"/>
                <w:sz w:val="32"/>
              </w:rPr>
              <w:t xml:space="preserve"> </w:t>
            </w:r>
            <w:r>
              <w:rPr>
                <w:rFonts w:ascii="宋体" w:hAnsi="宋体"/>
                <w:sz w:val="32"/>
              </w:rPr>
              <w:t xml:space="preserve"> </w:t>
            </w:r>
            <w:r>
              <w:rPr>
                <w:rFonts w:hint="eastAsia" w:ascii="宋体" w:hAnsi="宋体"/>
                <w:sz w:val="32"/>
              </w:rPr>
              <w:t>年  月</w:t>
            </w:r>
          </w:p>
        </w:tc>
      </w:tr>
      <w:tr>
        <w:tblPrEx>
          <w:tblLayout w:type="fixed"/>
          <w:tblCellMar>
            <w:top w:w="0" w:type="dxa"/>
            <w:left w:w="108" w:type="dxa"/>
            <w:bottom w:w="0" w:type="dxa"/>
            <w:right w:w="108" w:type="dxa"/>
          </w:tblCellMar>
        </w:tblPrEx>
        <w:trPr>
          <w:trHeight w:val="390" w:hRule="atLeast"/>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序号</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姓名</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工种</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身份证号码</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工资金额（元）</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农民工签字</w:t>
            </w: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联系方式</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备    注</w:t>
            </w:r>
          </w:p>
        </w:tc>
      </w:tr>
      <w:tr>
        <w:tblPrEx>
          <w:tblLayout w:type="fixed"/>
          <w:tblCellMar>
            <w:top w:w="0" w:type="dxa"/>
            <w:left w:w="108" w:type="dxa"/>
            <w:bottom w:w="0" w:type="dxa"/>
            <w:right w:w="108"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1</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Layout w:type="fixed"/>
          <w:tblCellMar>
            <w:top w:w="0" w:type="dxa"/>
            <w:left w:w="108" w:type="dxa"/>
            <w:bottom w:w="0" w:type="dxa"/>
            <w:right w:w="108"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2</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Layout w:type="fixed"/>
          <w:tblCellMar>
            <w:top w:w="0" w:type="dxa"/>
            <w:left w:w="108" w:type="dxa"/>
            <w:bottom w:w="0" w:type="dxa"/>
            <w:right w:w="108"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3</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Layout w:type="fixed"/>
          <w:tblCellMar>
            <w:top w:w="0" w:type="dxa"/>
            <w:left w:w="108" w:type="dxa"/>
            <w:bottom w:w="0" w:type="dxa"/>
            <w:right w:w="108"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4</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Layout w:type="fixed"/>
          <w:tblCellMar>
            <w:top w:w="0" w:type="dxa"/>
            <w:left w:w="108" w:type="dxa"/>
            <w:bottom w:w="0" w:type="dxa"/>
            <w:right w:w="108"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5</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Layout w:type="fixed"/>
          <w:tblCellMar>
            <w:top w:w="0" w:type="dxa"/>
            <w:left w:w="108" w:type="dxa"/>
            <w:bottom w:w="0" w:type="dxa"/>
            <w:right w:w="108"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6</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Layout w:type="fixed"/>
          <w:tblCellMar>
            <w:top w:w="0" w:type="dxa"/>
            <w:left w:w="108" w:type="dxa"/>
            <w:bottom w:w="0" w:type="dxa"/>
            <w:right w:w="108"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7</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Layout w:type="fixed"/>
          <w:tblCellMar>
            <w:top w:w="0" w:type="dxa"/>
            <w:left w:w="108" w:type="dxa"/>
            <w:bottom w:w="0" w:type="dxa"/>
            <w:right w:w="108" w:type="dxa"/>
          </w:tblCellMar>
        </w:tblPrEx>
        <w:trPr>
          <w:trHeight w:val="600" w:hRule="atLeast"/>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r>
              <w:rPr>
                <w:rFonts w:hint="eastAsia" w:ascii="宋体" w:hAnsi="宋体"/>
                <w:sz w:val="24"/>
              </w:rPr>
              <w:t>8</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sz w:val="22"/>
              </w:rPr>
            </w:pPr>
          </w:p>
        </w:tc>
      </w:tr>
      <w:tr>
        <w:tblPrEx>
          <w:tblLayout w:type="fixed"/>
          <w:tblCellMar>
            <w:top w:w="0" w:type="dxa"/>
            <w:left w:w="108" w:type="dxa"/>
            <w:bottom w:w="0" w:type="dxa"/>
            <w:right w:w="108" w:type="dxa"/>
          </w:tblCellMar>
        </w:tblPrEx>
        <w:trPr>
          <w:trHeight w:val="390" w:hRule="atLeast"/>
        </w:trPr>
        <w:tc>
          <w:tcPr>
            <w:tcW w:w="13897" w:type="dxa"/>
            <w:gridSpan w:val="8"/>
            <w:vMerge w:val="restart"/>
            <w:tcBorders>
              <w:top w:val="single" w:color="000000" w:sz="4" w:space="0"/>
              <w:left w:val="single" w:color="000000" w:sz="4" w:space="0"/>
              <w:bottom w:val="single" w:color="000000" w:sz="4" w:space="0"/>
              <w:right w:val="single" w:color="000000" w:sz="4" w:space="0"/>
            </w:tcBorders>
          </w:tcPr>
          <w:p>
            <w:pPr>
              <w:widowControl/>
              <w:autoSpaceDN w:val="0"/>
              <w:jc w:val="left"/>
              <w:textAlignment w:val="top"/>
              <w:rPr>
                <w:rFonts w:ascii="宋体" w:hAnsi="宋体"/>
                <w:sz w:val="24"/>
              </w:rPr>
            </w:pPr>
            <w:r>
              <w:rPr>
                <w:rFonts w:hint="eastAsia" w:ascii="宋体" w:hAnsi="宋体"/>
                <w:sz w:val="24"/>
              </w:rPr>
              <w:t xml:space="preserve">施工单位： </w:t>
            </w:r>
          </w:p>
        </w:tc>
      </w:tr>
      <w:tr>
        <w:tblPrEx>
          <w:tblLayout w:type="fixed"/>
          <w:tblCellMar>
            <w:top w:w="0" w:type="dxa"/>
            <w:left w:w="108" w:type="dxa"/>
            <w:bottom w:w="0" w:type="dxa"/>
            <w:right w:w="108" w:type="dxa"/>
          </w:tblCellMar>
        </w:tblPrEx>
        <w:trPr>
          <w:trHeight w:val="390" w:hRule="atLeast"/>
        </w:trPr>
        <w:tc>
          <w:tcPr>
            <w:tcW w:w="13897"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4"/>
              </w:rPr>
            </w:pPr>
          </w:p>
        </w:tc>
      </w:tr>
    </w:tbl>
    <w:p>
      <w:pPr>
        <w:widowControl/>
        <w:jc w:val="left"/>
        <w:rPr>
          <w:rFonts w:ascii="宋体" w:hAnsi="宋体"/>
        </w:rPr>
        <w:sectPr>
          <w:pgSz w:w="16838" w:h="11906" w:orient="landscape"/>
          <w:pgMar w:top="1800" w:right="1440" w:bottom="1800" w:left="1440" w:header="851" w:footer="992" w:gutter="0"/>
          <w:cols w:space="720" w:num="1"/>
          <w:docGrid w:type="lines" w:linePitch="312" w:charSpace="0"/>
        </w:sectPr>
      </w:pPr>
    </w:p>
    <w:p>
      <w:pPr>
        <w:widowControl/>
        <w:adjustRightInd w:val="0"/>
        <w:snapToGrid w:val="0"/>
        <w:spacing w:line="360" w:lineRule="auto"/>
        <w:jc w:val="left"/>
        <w:rPr>
          <w:rFonts w:ascii="宋体" w:hAnsi="宋体"/>
        </w:rPr>
      </w:pPr>
      <w:r>
        <w:rPr>
          <w:rFonts w:hint="eastAsia" w:ascii="宋体" w:hAnsi="宋体"/>
        </w:rPr>
        <w:t>附件二：</w:t>
      </w:r>
    </w:p>
    <w:p>
      <w:pPr>
        <w:widowControl/>
        <w:adjustRightInd w:val="0"/>
        <w:snapToGrid w:val="0"/>
        <w:spacing w:line="360" w:lineRule="auto"/>
        <w:jc w:val="center"/>
        <w:rPr>
          <w:rFonts w:ascii="宋体" w:hAnsi="宋体"/>
          <w:b/>
          <w:sz w:val="32"/>
          <w:szCs w:val="32"/>
        </w:rPr>
      </w:pPr>
      <w:bookmarkStart w:id="715" w:name="招标文件04章合同条款及格式03_02"/>
      <w:bookmarkEnd w:id="715"/>
      <w:r>
        <w:rPr>
          <w:rFonts w:hint="eastAsia" w:ascii="宋体" w:hAnsi="宋体"/>
          <w:b/>
          <w:sz w:val="32"/>
          <w:szCs w:val="32"/>
        </w:rPr>
        <w:t>承包人提供的材料和工程设备一览表</w:t>
      </w:r>
    </w:p>
    <w:p>
      <w:pPr>
        <w:widowControl/>
        <w:adjustRightInd w:val="0"/>
        <w:snapToGrid w:val="0"/>
        <w:spacing w:line="360" w:lineRule="auto"/>
        <w:jc w:val="left"/>
        <w:rPr>
          <w:rFonts w:ascii="宋体" w:hAnsi="宋体"/>
        </w:rPr>
      </w:pPr>
    </w:p>
    <w:tbl>
      <w:tblPr>
        <w:tblStyle w:val="49"/>
        <w:tblW w:w="90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559"/>
        <w:gridCol w:w="1134"/>
        <w:gridCol w:w="709"/>
        <w:gridCol w:w="567"/>
        <w:gridCol w:w="827"/>
        <w:gridCol w:w="896"/>
        <w:gridCol w:w="896"/>
        <w:gridCol w:w="1236"/>
        <w:gridCol w:w="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材料设备名称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规格型号</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单位</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数量</w:t>
            </w: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单价</w:t>
            </w: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交货方式</w:t>
            </w: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交货地点</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计划交货时间</w:t>
            </w: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spacing w:val="-20"/>
              </w:rPr>
            </w:pPr>
            <w:r>
              <w:rPr>
                <w:rFonts w:hint="eastAsia" w:ascii="宋体" w:hAnsi="宋体"/>
                <w:spacing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1559"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1134"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709"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567"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827"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896"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1236"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c>
          <w:tcPr>
            <w:tcW w:w="556"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rPr>
            </w:pPr>
          </w:p>
        </w:tc>
      </w:tr>
    </w:tbl>
    <w:p>
      <w:pPr>
        <w:widowControl/>
        <w:adjustRightInd w:val="0"/>
        <w:snapToGrid w:val="0"/>
        <w:spacing w:line="360" w:lineRule="auto"/>
        <w:jc w:val="left"/>
        <w:rPr>
          <w:rFonts w:ascii="宋体" w:hAnsi="宋体"/>
        </w:rPr>
      </w:pPr>
    </w:p>
    <w:p>
      <w:pPr>
        <w:widowControl/>
        <w:adjustRightInd w:val="0"/>
        <w:snapToGrid w:val="0"/>
        <w:spacing w:line="360" w:lineRule="auto"/>
        <w:ind w:right="480"/>
        <w:jc w:val="right"/>
        <w:rPr>
          <w:rFonts w:ascii="宋体" w:hAnsi="宋体"/>
          <w:szCs w:val="21"/>
        </w:rPr>
      </w:pPr>
      <w:r>
        <w:rPr>
          <w:rFonts w:hint="eastAsia" w:ascii="宋体" w:hAnsi="宋体"/>
        </w:rPr>
        <w:br w:type="page"/>
      </w:r>
    </w:p>
    <w:p>
      <w:pPr>
        <w:widowControl/>
        <w:jc w:val="left"/>
        <w:rPr>
          <w:rFonts w:ascii="宋体" w:hAnsi="宋体" w:cs="宋体"/>
          <w:b/>
          <w:szCs w:val="21"/>
        </w:rPr>
      </w:pPr>
      <w:r>
        <w:rPr>
          <w:rFonts w:hint="eastAsia" w:ascii="宋体" w:hAnsi="宋体"/>
        </w:rPr>
        <w:t>附件三：质量保修书格式</w:t>
      </w:r>
    </w:p>
    <w:p>
      <w:pPr>
        <w:widowControl/>
        <w:adjustRightInd w:val="0"/>
        <w:snapToGrid w:val="0"/>
        <w:spacing w:line="360" w:lineRule="auto"/>
        <w:jc w:val="left"/>
        <w:rPr>
          <w:rFonts w:ascii="宋体" w:hAnsi="宋体"/>
        </w:rPr>
      </w:pPr>
    </w:p>
    <w:p>
      <w:pPr>
        <w:widowControl/>
        <w:spacing w:line="440" w:lineRule="exact"/>
        <w:jc w:val="center"/>
        <w:rPr>
          <w:rFonts w:ascii="宋体" w:hAnsi="宋体" w:cs="宋体"/>
          <w:sz w:val="28"/>
          <w:szCs w:val="28"/>
        </w:rPr>
      </w:pPr>
      <w:r>
        <w:rPr>
          <w:rFonts w:hint="eastAsia" w:ascii="宋体" w:hAnsi="宋体" w:cs="宋体"/>
          <w:b/>
          <w:bCs/>
          <w:sz w:val="28"/>
          <w:szCs w:val="28"/>
        </w:rPr>
        <w:t>工程质量保修书</w:t>
      </w:r>
    </w:p>
    <w:p>
      <w:pPr>
        <w:widowControl/>
        <w:spacing w:after="100" w:line="230" w:lineRule="atLeast"/>
        <w:jc w:val="left"/>
        <w:rPr>
          <w:rFonts w:ascii="宋体" w:hAnsi="宋体" w:cs="宋体"/>
          <w:snapToGrid w:val="0"/>
          <w:kern w:val="0"/>
          <w:szCs w:val="21"/>
        </w:rPr>
      </w:pPr>
    </w:p>
    <w:p>
      <w:pPr>
        <w:widowControl/>
        <w:spacing w:line="400" w:lineRule="exact"/>
        <w:jc w:val="left"/>
        <w:rPr>
          <w:rFonts w:ascii="宋体" w:hAnsi="宋体" w:cs="宋体"/>
          <w:snapToGrid w:val="0"/>
          <w:kern w:val="0"/>
          <w:szCs w:val="21"/>
        </w:rPr>
      </w:pPr>
      <w:r>
        <w:rPr>
          <w:rFonts w:hint="eastAsia" w:ascii="宋体" w:hAnsi="宋体" w:cs="宋体"/>
          <w:snapToGrid w:val="0"/>
          <w:kern w:val="0"/>
          <w:szCs w:val="21"/>
        </w:rPr>
        <w:t>发包人（全称）：</w:t>
      </w:r>
      <w:r>
        <w:rPr>
          <w:rFonts w:ascii="宋体" w:hAnsi="宋体" w:cs="宋体"/>
          <w:snapToGrid w:val="0"/>
          <w:kern w:val="0"/>
          <w:szCs w:val="21"/>
          <w:u w:val="single"/>
        </w:rPr>
        <w:t>_</w:t>
      </w:r>
      <w:r>
        <w:rPr>
          <w:rFonts w:hint="eastAsia" w:ascii="宋体" w:hAnsi="宋体" w:cs="宋体"/>
          <w:snapToGrid w:val="0"/>
          <w:kern w:val="0"/>
          <w:szCs w:val="21"/>
          <w:u w:val="single"/>
        </w:rPr>
        <w:t>重庆两江新区</w:t>
      </w:r>
      <w:r>
        <w:rPr>
          <w:rFonts w:ascii="宋体" w:hAnsi="宋体" w:cs="宋体"/>
          <w:snapToGrid w:val="0"/>
          <w:kern w:val="0"/>
          <w:szCs w:val="21"/>
          <w:u w:val="single"/>
        </w:rPr>
        <w:t>水土高新技术产业园建设投资有限公司</w:t>
      </w:r>
      <w:r>
        <w:rPr>
          <w:rFonts w:hint="eastAsia" w:ascii="宋体" w:hAnsi="宋体" w:cs="宋体"/>
          <w:snapToGrid w:val="0"/>
          <w:kern w:val="0"/>
          <w:szCs w:val="21"/>
        </w:rPr>
        <w:t>_</w:t>
      </w:r>
    </w:p>
    <w:p>
      <w:pPr>
        <w:widowControl/>
        <w:spacing w:line="400" w:lineRule="exact"/>
        <w:jc w:val="left"/>
        <w:rPr>
          <w:rFonts w:ascii="宋体" w:hAnsi="宋体" w:cs="宋体"/>
          <w:snapToGrid w:val="0"/>
          <w:kern w:val="0"/>
          <w:szCs w:val="21"/>
        </w:rPr>
      </w:pPr>
      <w:r>
        <w:rPr>
          <w:rFonts w:hint="eastAsia" w:ascii="宋体" w:hAnsi="宋体" w:cs="宋体"/>
          <w:snapToGrid w:val="0"/>
          <w:kern w:val="0"/>
          <w:szCs w:val="21"/>
        </w:rPr>
        <w:t>承包人（全称）：_</w:t>
      </w:r>
      <w:r>
        <w:rPr>
          <w:rFonts w:ascii="宋体" w:hAnsi="宋体" w:cs="宋体"/>
          <w:snapToGrid w:val="0"/>
          <w:kern w:val="0"/>
          <w:szCs w:val="21"/>
          <w:u w:val="single"/>
        </w:rPr>
        <w:t xml:space="preserve">                                             _</w:t>
      </w:r>
    </w:p>
    <w:p>
      <w:pPr>
        <w:widowControl/>
        <w:spacing w:line="400" w:lineRule="exact"/>
        <w:ind w:firstLine="420" w:firstLineChars="200"/>
        <w:jc w:val="left"/>
        <w:rPr>
          <w:rFonts w:ascii="宋体" w:hAnsi="宋体" w:cs="宋体"/>
          <w:snapToGrid w:val="0"/>
          <w:kern w:val="0"/>
          <w:szCs w:val="21"/>
        </w:rPr>
      </w:pPr>
      <w:r>
        <w:rPr>
          <w:rFonts w:hint="eastAsia" w:ascii="宋体" w:hAnsi="宋体" w:cs="宋体"/>
          <w:szCs w:val="21"/>
        </w:rPr>
        <w:t>为保证工程在合理使用期限内正常使用，发包人承包人协商一致签订工程质量保修书。承包人在质量保修期内按照有关管理规定及双方约定承担工程质量保修责任。</w:t>
      </w:r>
    </w:p>
    <w:p>
      <w:pPr>
        <w:widowControl/>
        <w:spacing w:line="400" w:lineRule="exact"/>
        <w:jc w:val="left"/>
        <w:rPr>
          <w:rFonts w:ascii="宋体" w:hAnsi="宋体" w:cs="宋体"/>
          <w:b/>
          <w:szCs w:val="21"/>
        </w:rPr>
      </w:pPr>
      <w:bookmarkStart w:id="716" w:name="_Toc364947212"/>
      <w:r>
        <w:rPr>
          <w:rFonts w:hint="eastAsia" w:ascii="宋体" w:hAnsi="宋体" w:cs="宋体"/>
          <w:b/>
          <w:szCs w:val="21"/>
        </w:rPr>
        <w:t>一、工程质量保修范围和内容</w:t>
      </w:r>
      <w:bookmarkEnd w:id="716"/>
    </w:p>
    <w:p>
      <w:pPr>
        <w:widowControl/>
        <w:spacing w:line="400" w:lineRule="exact"/>
        <w:ind w:firstLine="420" w:firstLineChars="200"/>
        <w:jc w:val="left"/>
        <w:rPr>
          <w:rFonts w:ascii="宋体" w:hAnsi="宋体" w:cs="宋体"/>
          <w:szCs w:val="21"/>
        </w:rPr>
      </w:pPr>
      <w:r>
        <w:rPr>
          <w:rFonts w:hint="eastAsia" w:ascii="宋体" w:hAnsi="宋体" w:cs="宋体"/>
          <w:szCs w:val="21"/>
        </w:rPr>
        <w:t>质量保修范围包括工程。具体质量保修内容双方约定如下：</w:t>
      </w:r>
    </w:p>
    <w:p>
      <w:pPr>
        <w:widowControl/>
        <w:spacing w:line="400" w:lineRule="exact"/>
        <w:ind w:firstLine="420" w:firstLineChars="200"/>
        <w:jc w:val="left"/>
        <w:rPr>
          <w:rFonts w:ascii="宋体" w:hAnsi="宋体" w:cs="宋体"/>
          <w:szCs w:val="21"/>
        </w:rPr>
      </w:pPr>
      <w:r>
        <w:rPr>
          <w:rFonts w:hint="eastAsia" w:ascii="宋体" w:hAnsi="宋体" w:cs="宋体"/>
          <w:szCs w:val="21"/>
        </w:rPr>
        <w:t>承包人承包范围内容均属保修内容。</w:t>
      </w:r>
    </w:p>
    <w:p>
      <w:pPr>
        <w:widowControl/>
        <w:spacing w:line="400" w:lineRule="exact"/>
        <w:jc w:val="left"/>
        <w:rPr>
          <w:rFonts w:ascii="宋体" w:hAnsi="宋体" w:cs="宋体"/>
          <w:b/>
          <w:szCs w:val="21"/>
        </w:rPr>
      </w:pPr>
      <w:bookmarkStart w:id="717" w:name="_Toc364947213"/>
      <w:r>
        <w:rPr>
          <w:rFonts w:hint="eastAsia" w:ascii="宋体" w:hAnsi="宋体" w:cs="宋体"/>
          <w:b/>
          <w:szCs w:val="21"/>
        </w:rPr>
        <w:t>二、质量保修期</w:t>
      </w:r>
      <w:bookmarkEnd w:id="717"/>
    </w:p>
    <w:p>
      <w:pPr>
        <w:widowControl/>
        <w:spacing w:line="400" w:lineRule="exact"/>
        <w:ind w:firstLine="420" w:firstLineChars="200"/>
        <w:jc w:val="left"/>
        <w:rPr>
          <w:rFonts w:ascii="宋体" w:hAnsi="宋体" w:cs="宋体"/>
          <w:szCs w:val="21"/>
        </w:rPr>
      </w:pPr>
      <w:r>
        <w:rPr>
          <w:rFonts w:hint="eastAsia" w:ascii="宋体" w:hAnsi="宋体" w:cs="宋体"/>
          <w:szCs w:val="21"/>
        </w:rPr>
        <w:t>质量保修期从工程竣工验收合格之日算起。</w:t>
      </w:r>
    </w:p>
    <w:p>
      <w:pPr>
        <w:widowControl/>
        <w:spacing w:line="400" w:lineRule="exact"/>
        <w:ind w:firstLine="420" w:firstLineChars="200"/>
        <w:jc w:val="left"/>
        <w:rPr>
          <w:rFonts w:ascii="宋体" w:hAnsi="宋体" w:cs="宋体"/>
          <w:szCs w:val="21"/>
        </w:rPr>
      </w:pPr>
      <w:r>
        <w:rPr>
          <w:rFonts w:hint="eastAsia" w:ascii="宋体" w:hAnsi="宋体" w:cs="宋体"/>
          <w:szCs w:val="21"/>
        </w:rPr>
        <w:t>双方根据国家有关规定，结合具体工程约定质量保修期如下：</w:t>
      </w:r>
    </w:p>
    <w:p>
      <w:pPr>
        <w:widowControl/>
        <w:spacing w:line="360" w:lineRule="auto"/>
        <w:ind w:firstLine="420" w:firstLineChars="200"/>
        <w:jc w:val="left"/>
        <w:rPr>
          <w:rFonts w:ascii="宋体"/>
        </w:rPr>
      </w:pPr>
      <w:r>
        <w:rPr>
          <w:rFonts w:ascii="宋体" w:hAnsi="宋体" w:cs="宋体"/>
        </w:rPr>
        <w:t>1</w:t>
      </w:r>
      <w:r>
        <w:rPr>
          <w:rFonts w:hint="eastAsia" w:ascii="宋体" w:hAnsi="宋体" w:cs="宋体"/>
        </w:rPr>
        <w:t>．地基基础工程和主体结构工程为设计文件规定的工程合理使用年限；</w:t>
      </w:r>
    </w:p>
    <w:p>
      <w:pPr>
        <w:widowControl/>
        <w:spacing w:line="360" w:lineRule="auto"/>
        <w:ind w:firstLine="420" w:firstLineChars="200"/>
        <w:jc w:val="left"/>
        <w:rPr>
          <w:rFonts w:ascii="宋体"/>
        </w:rPr>
      </w:pPr>
      <w:r>
        <w:rPr>
          <w:rFonts w:ascii="宋体" w:hAnsi="宋体" w:cs="宋体"/>
        </w:rPr>
        <w:t>2</w:t>
      </w:r>
      <w:r>
        <w:rPr>
          <w:rFonts w:hint="eastAsia" w:ascii="宋体" w:hAnsi="宋体" w:cs="宋体"/>
        </w:rPr>
        <w:t>．屋面防水工程、有防水要求的卫生间、房间和外墙面的防渗为</w:t>
      </w:r>
      <w:r>
        <w:rPr>
          <w:rFonts w:hint="eastAsia" w:ascii="宋体" w:hAnsi="宋体" w:cs="宋体"/>
          <w:u w:val="single"/>
        </w:rPr>
        <w:t>5</w:t>
      </w:r>
      <w:r>
        <w:rPr>
          <w:rFonts w:hint="eastAsia" w:ascii="宋体" w:hAnsi="宋体" w:cs="宋体"/>
        </w:rPr>
        <w:t>年；</w:t>
      </w:r>
    </w:p>
    <w:p>
      <w:pPr>
        <w:widowControl/>
        <w:spacing w:line="360" w:lineRule="auto"/>
        <w:ind w:firstLine="420" w:firstLineChars="200"/>
        <w:jc w:val="left"/>
        <w:rPr>
          <w:rFonts w:ascii="宋体"/>
        </w:rPr>
      </w:pPr>
      <w:r>
        <w:rPr>
          <w:rFonts w:ascii="宋体" w:hAnsi="宋体" w:cs="宋体"/>
        </w:rPr>
        <w:t>3</w:t>
      </w:r>
      <w:r>
        <w:rPr>
          <w:rFonts w:hint="eastAsia" w:ascii="宋体" w:hAnsi="宋体" w:cs="宋体"/>
        </w:rPr>
        <w:t>．装修工程为</w:t>
      </w:r>
      <w:r>
        <w:rPr>
          <w:rFonts w:hint="eastAsia" w:ascii="宋体" w:hAnsi="宋体" w:cs="宋体"/>
          <w:u w:val="single"/>
        </w:rPr>
        <w:t>2</w:t>
      </w:r>
      <w:r>
        <w:rPr>
          <w:rFonts w:hint="eastAsia" w:ascii="宋体" w:hAnsi="宋体" w:cs="宋体"/>
        </w:rPr>
        <w:t>年；</w:t>
      </w:r>
    </w:p>
    <w:p>
      <w:pPr>
        <w:widowControl/>
        <w:spacing w:line="360" w:lineRule="auto"/>
        <w:ind w:firstLine="420" w:firstLineChars="200"/>
        <w:jc w:val="left"/>
        <w:rPr>
          <w:rFonts w:ascii="宋体"/>
        </w:rPr>
      </w:pPr>
      <w:r>
        <w:rPr>
          <w:rFonts w:ascii="宋体" w:hAnsi="宋体" w:cs="宋体"/>
        </w:rPr>
        <w:t>4</w:t>
      </w:r>
      <w:r>
        <w:rPr>
          <w:rFonts w:hint="eastAsia" w:ascii="宋体" w:hAnsi="宋体" w:cs="宋体"/>
        </w:rPr>
        <w:t>．电气管线、给排水管道、设备安装工程为</w:t>
      </w:r>
      <w:r>
        <w:rPr>
          <w:rFonts w:ascii="宋体" w:hAnsi="宋体" w:cs="宋体"/>
          <w:u w:val="single"/>
        </w:rPr>
        <w:t xml:space="preserve"> 2 </w:t>
      </w:r>
      <w:r>
        <w:rPr>
          <w:rFonts w:hint="eastAsia" w:ascii="宋体" w:hAnsi="宋体" w:cs="宋体"/>
        </w:rPr>
        <w:t>年；</w:t>
      </w:r>
    </w:p>
    <w:p>
      <w:pPr>
        <w:widowControl/>
        <w:spacing w:line="360" w:lineRule="auto"/>
        <w:ind w:firstLine="420" w:firstLineChars="200"/>
        <w:jc w:val="left"/>
        <w:rPr>
          <w:rFonts w:ascii="宋体" w:hAnsi="宋体" w:cs="宋体"/>
        </w:rPr>
      </w:pPr>
      <w:r>
        <w:rPr>
          <w:rFonts w:hint="eastAsia" w:ascii="宋体" w:hAnsi="宋体" w:cs="宋体"/>
        </w:rPr>
        <w:t>5．住宅小区内的给排水设施、道路等配套工程为</w:t>
      </w:r>
      <w:r>
        <w:rPr>
          <w:rFonts w:ascii="宋体" w:hAnsi="宋体" w:cs="宋体"/>
          <w:u w:val="single"/>
        </w:rPr>
        <w:t xml:space="preserve"> 2 </w:t>
      </w:r>
      <w:r>
        <w:rPr>
          <w:rFonts w:hint="eastAsia" w:ascii="宋体" w:hAnsi="宋体" w:cs="宋体"/>
        </w:rPr>
        <w:t>年；</w:t>
      </w:r>
    </w:p>
    <w:p>
      <w:pPr>
        <w:widowControl/>
        <w:spacing w:line="360" w:lineRule="auto"/>
        <w:ind w:firstLine="420" w:firstLineChars="200"/>
        <w:jc w:val="left"/>
        <w:rPr>
          <w:rFonts w:ascii="宋体" w:hAnsi="宋体" w:cs="宋体"/>
        </w:rPr>
      </w:pPr>
      <w:r>
        <w:rPr>
          <w:rFonts w:hint="eastAsia" w:ascii="宋体" w:hAnsi="宋体" w:cs="宋体"/>
        </w:rPr>
        <w:t>6.绿化苗木养护期为2年；</w:t>
      </w:r>
    </w:p>
    <w:p>
      <w:pPr>
        <w:widowControl/>
        <w:spacing w:line="400" w:lineRule="exact"/>
        <w:ind w:firstLine="420" w:firstLineChars="200"/>
        <w:jc w:val="left"/>
        <w:rPr>
          <w:rFonts w:ascii="宋体" w:hAnsi="宋体" w:cs="宋体"/>
          <w:szCs w:val="21"/>
        </w:rPr>
      </w:pPr>
      <w:r>
        <w:rPr>
          <w:rFonts w:hint="eastAsia" w:ascii="宋体" w:hAnsi="宋体" w:cs="宋体"/>
        </w:rPr>
        <w:t>7．其他项目保修期限为</w:t>
      </w:r>
      <w:r>
        <w:rPr>
          <w:rFonts w:ascii="宋体" w:hAnsi="宋体" w:cs="宋体"/>
          <w:u w:val="single"/>
        </w:rPr>
        <w:t xml:space="preserve"> 2 </w:t>
      </w:r>
      <w:r>
        <w:rPr>
          <w:rFonts w:hint="eastAsia" w:ascii="宋体" w:hAnsi="宋体" w:cs="宋体"/>
        </w:rPr>
        <w:t>年；</w:t>
      </w:r>
    </w:p>
    <w:p>
      <w:pPr>
        <w:widowControl/>
        <w:spacing w:line="400" w:lineRule="exact"/>
        <w:jc w:val="left"/>
        <w:rPr>
          <w:rFonts w:ascii="宋体" w:hAnsi="宋体" w:cs="宋体"/>
          <w:b/>
          <w:szCs w:val="21"/>
        </w:rPr>
      </w:pPr>
      <w:bookmarkStart w:id="718" w:name="_Toc364947214"/>
      <w:r>
        <w:rPr>
          <w:rFonts w:hint="eastAsia" w:ascii="宋体" w:hAnsi="宋体" w:cs="宋体"/>
          <w:b/>
          <w:szCs w:val="21"/>
        </w:rPr>
        <w:t>三、质量保修责任</w:t>
      </w:r>
      <w:bookmarkEnd w:id="718"/>
    </w:p>
    <w:p>
      <w:pPr>
        <w:widowControl/>
        <w:spacing w:line="400" w:lineRule="exact"/>
        <w:ind w:firstLine="420" w:firstLineChars="200"/>
        <w:jc w:val="left"/>
        <w:rPr>
          <w:rFonts w:ascii="宋体" w:hAnsi="宋体" w:cs="宋体"/>
          <w:szCs w:val="21"/>
        </w:rPr>
      </w:pPr>
      <w:r>
        <w:rPr>
          <w:rFonts w:hint="eastAsia" w:ascii="宋体" w:hAnsi="宋体" w:cs="宋体"/>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pPr>
        <w:widowControl/>
        <w:spacing w:line="400" w:lineRule="exact"/>
        <w:ind w:firstLine="420" w:firstLineChars="200"/>
        <w:jc w:val="left"/>
        <w:rPr>
          <w:rFonts w:ascii="宋体" w:hAnsi="宋体" w:cs="宋体"/>
          <w:szCs w:val="21"/>
        </w:rPr>
      </w:pPr>
      <w:r>
        <w:rPr>
          <w:rFonts w:hint="eastAsia" w:ascii="宋体" w:hAnsi="宋体" w:cs="宋体"/>
          <w:szCs w:val="21"/>
        </w:rPr>
        <w:t>2、发生须紧急抢修事故，承包人接到事故通如后，应立即到达事故现场抢修。非承包人施工质量引起的事故，抢修费用由发包人承担。</w:t>
      </w:r>
    </w:p>
    <w:p>
      <w:pPr>
        <w:widowControl/>
        <w:spacing w:line="400" w:lineRule="exact"/>
        <w:ind w:firstLine="420" w:firstLineChars="200"/>
        <w:jc w:val="left"/>
        <w:rPr>
          <w:rFonts w:ascii="宋体" w:hAnsi="宋体" w:cs="宋体"/>
          <w:szCs w:val="21"/>
        </w:rPr>
      </w:pPr>
      <w:r>
        <w:rPr>
          <w:rFonts w:hint="eastAsia" w:ascii="宋体" w:hAnsi="宋体" w:cs="宋体"/>
          <w:szCs w:val="21"/>
        </w:rPr>
        <w:t>3、对于涉及结构安全的质量问题，应当立即向当地建设行政主管部门报告，采取安全防范措施；由原设计单位或者具有相应资质等级的设计单位提出保修方案，承包人实施保修。</w:t>
      </w:r>
    </w:p>
    <w:p>
      <w:pPr>
        <w:widowControl/>
        <w:spacing w:line="400" w:lineRule="exact"/>
        <w:ind w:firstLine="420" w:firstLineChars="200"/>
        <w:jc w:val="left"/>
        <w:rPr>
          <w:rFonts w:ascii="宋体" w:hAnsi="宋体" w:cs="宋体"/>
          <w:szCs w:val="21"/>
        </w:rPr>
      </w:pPr>
      <w:r>
        <w:rPr>
          <w:rFonts w:hint="eastAsia" w:ascii="宋体" w:hAnsi="宋体" w:cs="宋体"/>
          <w:szCs w:val="21"/>
        </w:rPr>
        <w:t>4、质量保修完成后，由发包人组织验收。</w:t>
      </w:r>
    </w:p>
    <w:p>
      <w:pPr>
        <w:widowControl/>
        <w:spacing w:line="400" w:lineRule="exact"/>
        <w:ind w:firstLine="420" w:firstLineChars="200"/>
        <w:jc w:val="left"/>
        <w:rPr>
          <w:rFonts w:ascii="宋体" w:hAnsi="宋体" w:cs="宋体"/>
          <w:szCs w:val="21"/>
        </w:rPr>
      </w:pPr>
      <w:r>
        <w:rPr>
          <w:rFonts w:hint="eastAsia" w:ascii="宋体" w:hAnsi="宋体" w:cs="宋体"/>
          <w:szCs w:val="21"/>
        </w:rPr>
        <w:t>5、缺陷责任期或质保期满前，发包人书面通知承包人整改，承包人未及时整改的，发包人有权指派第三方完成，相应整改费用可双倍从质保金中扣除。</w:t>
      </w:r>
    </w:p>
    <w:p>
      <w:pPr>
        <w:widowControl/>
        <w:spacing w:line="400" w:lineRule="exact"/>
        <w:jc w:val="left"/>
        <w:rPr>
          <w:rFonts w:ascii="宋体" w:hAnsi="宋体" w:cs="宋体"/>
          <w:b/>
          <w:szCs w:val="21"/>
        </w:rPr>
      </w:pPr>
      <w:bookmarkStart w:id="719" w:name="_Toc364947215"/>
      <w:r>
        <w:rPr>
          <w:rFonts w:hint="eastAsia" w:ascii="宋体" w:hAnsi="宋体" w:cs="宋体"/>
          <w:b/>
          <w:szCs w:val="21"/>
        </w:rPr>
        <w:t>四、质量保证金的支付</w:t>
      </w:r>
      <w:bookmarkEnd w:id="719"/>
    </w:p>
    <w:p>
      <w:pPr>
        <w:widowControl/>
        <w:spacing w:line="400" w:lineRule="exact"/>
        <w:ind w:firstLine="420" w:firstLineChars="200"/>
        <w:jc w:val="left"/>
        <w:rPr>
          <w:rFonts w:ascii="宋体" w:hAnsi="宋体" w:cs="宋体"/>
          <w:szCs w:val="21"/>
        </w:rPr>
      </w:pPr>
      <w:r>
        <w:rPr>
          <w:rFonts w:hint="eastAsia" w:ascii="宋体" w:hAnsi="宋体" w:cs="宋体"/>
          <w:szCs w:val="21"/>
        </w:rPr>
        <w:t>工程质量保证金一般不超过施工合同价款的</w:t>
      </w:r>
      <w:r>
        <w:rPr>
          <w:rFonts w:ascii="宋体" w:hAnsi="宋体" w:cs="宋体"/>
          <w:szCs w:val="21"/>
        </w:rPr>
        <w:t>3</w:t>
      </w:r>
      <w:r>
        <w:rPr>
          <w:rFonts w:hint="eastAsia" w:ascii="宋体" w:hAnsi="宋体" w:cs="宋体"/>
          <w:szCs w:val="21"/>
        </w:rPr>
        <w:t>%，本工程约定的工程质量保修金为工程最终结算价款的</w:t>
      </w:r>
      <w:r>
        <w:rPr>
          <w:rFonts w:ascii="宋体" w:hAnsi="宋体" w:cs="宋体"/>
          <w:szCs w:val="21"/>
          <w:u w:val="single"/>
        </w:rPr>
        <w:t>3</w:t>
      </w:r>
      <w:r>
        <w:rPr>
          <w:rFonts w:hint="eastAsia" w:ascii="宋体" w:hAnsi="宋体" w:cs="宋体"/>
          <w:szCs w:val="21"/>
          <w:u w:val="single"/>
        </w:rPr>
        <w:t>%</w:t>
      </w:r>
      <w:r>
        <w:rPr>
          <w:rFonts w:hint="eastAsia" w:ascii="宋体" w:hAnsi="宋体" w:cs="宋体"/>
          <w:szCs w:val="21"/>
        </w:rPr>
        <w:t>。</w:t>
      </w:r>
    </w:p>
    <w:p>
      <w:pPr>
        <w:widowControl/>
        <w:spacing w:line="400" w:lineRule="exact"/>
        <w:ind w:firstLine="420" w:firstLineChars="200"/>
        <w:jc w:val="left"/>
        <w:rPr>
          <w:rFonts w:ascii="宋体" w:hAnsi="宋体" w:cs="宋体"/>
          <w:szCs w:val="21"/>
        </w:rPr>
      </w:pPr>
      <w:r>
        <w:rPr>
          <w:rFonts w:hint="eastAsia" w:ascii="宋体" w:hAnsi="宋体" w:cs="宋体"/>
          <w:szCs w:val="21"/>
        </w:rPr>
        <w:t>本工程双方约定承包人向发包人支付工程质量保修金金额为：由发包人在工程款中预留，质量保修金银行利率为：</w:t>
      </w:r>
      <w:r>
        <w:rPr>
          <w:rFonts w:hint="eastAsia" w:ascii="宋体" w:hAnsi="宋体" w:cs="宋体"/>
          <w:szCs w:val="21"/>
          <w:u w:val="single"/>
        </w:rPr>
        <w:t>不计息</w:t>
      </w:r>
      <w:r>
        <w:rPr>
          <w:rFonts w:hint="eastAsia" w:ascii="宋体" w:hAnsi="宋体" w:cs="宋体"/>
          <w:szCs w:val="21"/>
        </w:rPr>
        <w:t>。</w:t>
      </w:r>
    </w:p>
    <w:p>
      <w:pPr>
        <w:widowControl/>
        <w:spacing w:line="400" w:lineRule="exact"/>
        <w:jc w:val="left"/>
        <w:rPr>
          <w:rFonts w:ascii="宋体" w:hAnsi="宋体" w:cs="宋体"/>
          <w:b/>
          <w:szCs w:val="21"/>
        </w:rPr>
      </w:pPr>
      <w:bookmarkStart w:id="720" w:name="_Toc364947216"/>
      <w:r>
        <w:rPr>
          <w:rFonts w:hint="eastAsia" w:ascii="宋体" w:hAnsi="宋体" w:cs="宋体"/>
          <w:b/>
          <w:szCs w:val="21"/>
        </w:rPr>
        <w:t>五、质量保证金 的返还</w:t>
      </w:r>
      <w:bookmarkEnd w:id="720"/>
    </w:p>
    <w:p>
      <w:pPr>
        <w:widowControl/>
        <w:spacing w:line="400" w:lineRule="exact"/>
        <w:ind w:firstLine="420" w:firstLineChars="200"/>
        <w:jc w:val="left"/>
        <w:rPr>
          <w:rFonts w:ascii="宋体" w:hAnsi="宋体"/>
          <w:szCs w:val="21"/>
        </w:rPr>
      </w:pPr>
      <w:bookmarkStart w:id="721" w:name="_Toc364947217"/>
      <w:r>
        <w:rPr>
          <w:rFonts w:hint="eastAsia" w:ascii="宋体" w:hAnsi="宋体"/>
          <w:szCs w:val="21"/>
        </w:rPr>
        <w:t>质量保证金的返还分两种情形：</w:t>
      </w:r>
    </w:p>
    <w:p>
      <w:pPr>
        <w:widowControl/>
        <w:spacing w:line="400" w:lineRule="exact"/>
        <w:ind w:firstLine="420" w:firstLineChars="200"/>
        <w:jc w:val="left"/>
        <w:rPr>
          <w:rFonts w:ascii="宋体" w:hAnsi="宋体"/>
          <w:szCs w:val="21"/>
        </w:rPr>
      </w:pPr>
      <w:r>
        <w:rPr>
          <w:rFonts w:hint="eastAsia" w:ascii="宋体" w:hAnsi="宋体"/>
          <w:szCs w:val="21"/>
        </w:rPr>
        <w:t>（1）如本工程无防水项目，缺陷责任期满后且缺陷完成整改验收合格30日内一次性无息退还质量保证金。</w:t>
      </w:r>
    </w:p>
    <w:p>
      <w:pPr>
        <w:widowControl/>
        <w:spacing w:line="400" w:lineRule="exact"/>
        <w:ind w:firstLine="420" w:firstLineChars="200"/>
        <w:jc w:val="left"/>
        <w:rPr>
          <w:rFonts w:ascii="宋体" w:hAnsi="宋体"/>
          <w:szCs w:val="21"/>
        </w:rPr>
      </w:pPr>
      <w:r>
        <w:rPr>
          <w:rFonts w:hint="eastAsia" w:ascii="宋体" w:hAnsi="宋体"/>
          <w:szCs w:val="21"/>
        </w:rPr>
        <w:t>（2）如本工程有防水项目，预留防水项目造价占总项目造价同比例的质保金，余下质保金待质保期满后且缺陷完成整改验收合格之日起30日内一次性无息退还。</w:t>
      </w:r>
    </w:p>
    <w:p>
      <w:pPr>
        <w:widowControl/>
        <w:spacing w:line="400" w:lineRule="exact"/>
        <w:jc w:val="left"/>
        <w:rPr>
          <w:rFonts w:ascii="宋体" w:hAnsi="宋体" w:cs="宋体"/>
          <w:b/>
          <w:szCs w:val="21"/>
        </w:rPr>
      </w:pPr>
      <w:r>
        <w:rPr>
          <w:rFonts w:hint="eastAsia" w:ascii="宋体" w:hAnsi="宋体" w:cs="宋体"/>
          <w:b/>
          <w:szCs w:val="21"/>
        </w:rPr>
        <w:t>六、其他</w:t>
      </w:r>
      <w:bookmarkEnd w:id="721"/>
    </w:p>
    <w:p>
      <w:pPr>
        <w:widowControl/>
        <w:spacing w:line="400" w:lineRule="exact"/>
        <w:ind w:firstLine="420" w:firstLineChars="200"/>
        <w:jc w:val="left"/>
        <w:rPr>
          <w:rFonts w:ascii="宋体" w:hAnsi="宋体" w:cs="宋体"/>
          <w:szCs w:val="21"/>
        </w:rPr>
      </w:pPr>
      <w:r>
        <w:rPr>
          <w:rFonts w:hint="eastAsia" w:ascii="宋体" w:hAnsi="宋体" w:cs="宋体"/>
          <w:szCs w:val="21"/>
        </w:rPr>
        <w:t>双方约定的其他工程质量保修事项：无其他约定。</w:t>
      </w:r>
    </w:p>
    <w:p>
      <w:pPr>
        <w:widowControl/>
        <w:spacing w:line="400" w:lineRule="exact"/>
        <w:ind w:firstLine="420" w:firstLineChars="200"/>
        <w:jc w:val="left"/>
        <w:rPr>
          <w:rFonts w:ascii="宋体" w:hAnsi="宋体" w:cs="宋体"/>
          <w:szCs w:val="21"/>
        </w:rPr>
      </w:pPr>
      <w:r>
        <w:rPr>
          <w:rFonts w:hint="eastAsia" w:ascii="宋体" w:hAnsi="宋体" w:cs="宋体"/>
          <w:szCs w:val="21"/>
        </w:rPr>
        <w:t>本工程质量保修书作为施工合同附件，由施工合同发包人、承包人双方共同签署。</w:t>
      </w:r>
    </w:p>
    <w:p>
      <w:pPr>
        <w:widowControl/>
        <w:spacing w:line="400" w:lineRule="exact"/>
        <w:ind w:firstLine="420" w:firstLineChars="200"/>
        <w:jc w:val="left"/>
        <w:rPr>
          <w:rFonts w:ascii="宋体" w:hAnsi="宋体" w:cs="宋体"/>
          <w:szCs w:val="21"/>
        </w:rPr>
      </w:pPr>
    </w:p>
    <w:p>
      <w:pPr>
        <w:widowControl/>
        <w:spacing w:line="400" w:lineRule="exact"/>
        <w:ind w:firstLine="420" w:firstLineChars="200"/>
        <w:jc w:val="left"/>
        <w:rPr>
          <w:rFonts w:ascii="宋体" w:hAnsi="宋体" w:cs="宋体"/>
          <w:szCs w:val="21"/>
        </w:rPr>
      </w:pPr>
    </w:p>
    <w:p>
      <w:pPr>
        <w:widowControl/>
        <w:spacing w:line="400" w:lineRule="exact"/>
        <w:ind w:firstLine="420" w:firstLineChars="200"/>
        <w:jc w:val="left"/>
        <w:rPr>
          <w:rFonts w:ascii="宋体" w:hAnsi="宋体" w:cs="宋体"/>
          <w:szCs w:val="21"/>
        </w:rPr>
      </w:pPr>
      <w:r>
        <w:rPr>
          <w:rFonts w:hint="eastAsia" w:ascii="宋体" w:hAnsi="宋体" w:cs="宋体"/>
          <w:szCs w:val="21"/>
        </w:rPr>
        <w:t>发包人（盖章）：                                   承包人（盖章）：</w:t>
      </w:r>
    </w:p>
    <w:p>
      <w:pPr>
        <w:widowControl/>
        <w:spacing w:line="400" w:lineRule="exact"/>
        <w:ind w:firstLine="420" w:firstLineChars="200"/>
        <w:jc w:val="left"/>
        <w:rPr>
          <w:rFonts w:ascii="宋体" w:hAnsi="宋体" w:cs="宋体"/>
          <w:szCs w:val="21"/>
        </w:rPr>
      </w:pPr>
      <w:r>
        <w:rPr>
          <w:rFonts w:hint="eastAsia" w:ascii="宋体" w:hAnsi="宋体" w:cs="宋体"/>
          <w:szCs w:val="21"/>
        </w:rPr>
        <w:t>法定代表人                                         法定代表人</w:t>
      </w:r>
    </w:p>
    <w:p>
      <w:pPr>
        <w:widowControl/>
        <w:spacing w:line="400" w:lineRule="exact"/>
        <w:ind w:firstLine="420" w:firstLineChars="200"/>
        <w:jc w:val="left"/>
        <w:rPr>
          <w:rFonts w:ascii="宋体" w:hAnsi="宋体" w:cs="宋体"/>
          <w:szCs w:val="21"/>
        </w:rPr>
      </w:pPr>
      <w:r>
        <w:rPr>
          <w:rFonts w:hint="eastAsia" w:ascii="宋体" w:hAnsi="宋体" w:cs="宋体"/>
          <w:szCs w:val="21"/>
        </w:rPr>
        <w:t>或其委托代理人（签字）：                           或其委托代理人（签字）:</w:t>
      </w:r>
    </w:p>
    <w:p>
      <w:pPr>
        <w:widowControl/>
        <w:spacing w:line="400" w:lineRule="exact"/>
        <w:ind w:firstLine="420" w:firstLineChars="200"/>
        <w:jc w:val="left"/>
        <w:rPr>
          <w:rFonts w:ascii="宋体" w:hAnsi="宋体" w:cs="宋体"/>
          <w:szCs w:val="21"/>
        </w:rPr>
      </w:pPr>
    </w:p>
    <w:p>
      <w:pPr>
        <w:widowControl/>
        <w:spacing w:line="400" w:lineRule="exact"/>
        <w:ind w:firstLine="420" w:firstLineChars="200"/>
        <w:jc w:val="left"/>
        <w:rPr>
          <w:rFonts w:ascii="宋体" w:hAnsi="宋体" w:cs="宋体"/>
          <w:szCs w:val="21"/>
        </w:rPr>
      </w:pPr>
    </w:p>
    <w:p>
      <w:pPr>
        <w:widowControl/>
        <w:spacing w:line="400" w:lineRule="exact"/>
        <w:ind w:firstLine="420" w:firstLineChars="200"/>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年   月    日</w:t>
      </w: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p>
    <w:p>
      <w:pPr>
        <w:widowControl/>
        <w:jc w:val="left"/>
        <w:rPr>
          <w:rFonts w:ascii="宋体" w:hAnsi="宋体"/>
        </w:rPr>
      </w:pPr>
      <w:r>
        <w:rPr>
          <w:rFonts w:ascii="宋体" w:hAnsi="宋体"/>
        </w:rPr>
        <w:br w:type="page"/>
      </w:r>
    </w:p>
    <w:p>
      <w:pPr>
        <w:widowControl/>
        <w:jc w:val="left"/>
        <w:rPr>
          <w:rFonts w:ascii="宋体" w:hAnsi="宋体" w:cs="宋体"/>
          <w:b/>
          <w:szCs w:val="21"/>
        </w:rPr>
      </w:pPr>
      <w:r>
        <w:rPr>
          <w:rFonts w:hint="eastAsia" w:ascii="宋体" w:hAnsi="宋体"/>
        </w:rPr>
        <w:t>附件三：</w:t>
      </w:r>
    </w:p>
    <w:p>
      <w:pPr>
        <w:widowControl/>
        <w:adjustRightInd w:val="0"/>
        <w:snapToGrid w:val="0"/>
        <w:spacing w:line="360" w:lineRule="auto"/>
        <w:jc w:val="center"/>
        <w:rPr>
          <w:rFonts w:ascii="宋体" w:hAnsi="宋体"/>
          <w:b/>
          <w:bCs/>
          <w:sz w:val="28"/>
        </w:rPr>
      </w:pPr>
      <w:r>
        <w:rPr>
          <w:rFonts w:hint="eastAsia" w:ascii="宋体" w:hAnsi="宋体"/>
          <w:b/>
          <w:bCs/>
          <w:sz w:val="28"/>
        </w:rPr>
        <w:t>绿化养护质量标准</w:t>
      </w:r>
    </w:p>
    <w:p>
      <w:pPr>
        <w:widowControl/>
        <w:adjustRightInd w:val="0"/>
        <w:snapToGrid w:val="0"/>
        <w:spacing w:line="400" w:lineRule="exact"/>
        <w:jc w:val="left"/>
        <w:rPr>
          <w:rFonts w:ascii="宋体" w:hAnsi="宋体"/>
          <w:szCs w:val="20"/>
        </w:rPr>
      </w:pPr>
      <w:r>
        <w:rPr>
          <w:rFonts w:hint="eastAsia" w:ascii="宋体" w:hAnsi="宋体"/>
          <w:szCs w:val="20"/>
        </w:rPr>
        <w:t xml:space="preserve">     本绿化养护质量标准参照《重庆市城市园林绿化养护质量标准》，组合项目实际情况制定。</w:t>
      </w:r>
    </w:p>
    <w:p>
      <w:pPr>
        <w:widowControl/>
        <w:adjustRightInd w:val="0"/>
        <w:snapToGrid w:val="0"/>
        <w:spacing w:line="400" w:lineRule="exact"/>
        <w:ind w:firstLine="420" w:firstLineChars="200"/>
        <w:jc w:val="left"/>
        <w:rPr>
          <w:rFonts w:ascii="宋体" w:hAnsi="宋体"/>
          <w:szCs w:val="20"/>
        </w:rPr>
      </w:pPr>
      <w:r>
        <w:rPr>
          <w:rFonts w:hint="eastAsia" w:ascii="宋体" w:hAnsi="宋体"/>
          <w:szCs w:val="20"/>
        </w:rPr>
        <w:t>1、绿化养护技术措施完善，管理得当，植物配置合理，达到黄土不露天。</w:t>
      </w:r>
    </w:p>
    <w:p>
      <w:pPr>
        <w:widowControl/>
        <w:adjustRightInd w:val="0"/>
        <w:snapToGrid w:val="0"/>
        <w:spacing w:line="400" w:lineRule="exact"/>
        <w:ind w:firstLine="420" w:firstLineChars="200"/>
        <w:jc w:val="left"/>
        <w:rPr>
          <w:rFonts w:ascii="宋体" w:hAnsi="宋体"/>
          <w:szCs w:val="20"/>
        </w:rPr>
      </w:pPr>
      <w:r>
        <w:rPr>
          <w:rFonts w:hint="eastAsia" w:ascii="宋体" w:hAnsi="宋体"/>
          <w:szCs w:val="20"/>
        </w:rPr>
        <w:t>2、园林植物</w:t>
      </w:r>
    </w:p>
    <w:p>
      <w:pPr>
        <w:widowControl/>
        <w:adjustRightInd w:val="0"/>
        <w:snapToGrid w:val="0"/>
        <w:spacing w:line="400" w:lineRule="exact"/>
        <w:ind w:firstLine="420" w:firstLineChars="200"/>
        <w:jc w:val="left"/>
        <w:rPr>
          <w:rFonts w:ascii="宋体" w:hAnsi="宋体"/>
          <w:szCs w:val="20"/>
        </w:rPr>
      </w:pPr>
      <w:r>
        <w:rPr>
          <w:rFonts w:hint="eastAsia" w:ascii="宋体" w:hAnsi="宋体"/>
          <w:szCs w:val="20"/>
        </w:rPr>
        <w:t>（1）生长健壮。新建绿地各种植物半年内达到正常形态。生长超过该树种该规格的平均生长量。</w:t>
      </w:r>
    </w:p>
    <w:p>
      <w:pPr>
        <w:widowControl/>
        <w:adjustRightInd w:val="0"/>
        <w:snapToGrid w:val="0"/>
        <w:spacing w:line="400" w:lineRule="exact"/>
        <w:ind w:firstLine="420" w:firstLineChars="200"/>
        <w:jc w:val="left"/>
        <w:rPr>
          <w:rFonts w:ascii="宋体" w:hAnsi="宋体"/>
          <w:szCs w:val="20"/>
        </w:rPr>
      </w:pPr>
      <w:r>
        <w:rPr>
          <w:rFonts w:hint="eastAsia" w:ascii="宋体" w:hAnsi="宋体"/>
          <w:szCs w:val="20"/>
        </w:rPr>
        <w:t>（2）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pPr>
        <w:widowControl/>
        <w:adjustRightInd w:val="0"/>
        <w:snapToGrid w:val="0"/>
        <w:spacing w:line="400" w:lineRule="exact"/>
        <w:ind w:firstLine="420" w:firstLineChars="200"/>
        <w:jc w:val="left"/>
        <w:rPr>
          <w:rFonts w:ascii="宋体" w:hAnsi="宋体"/>
          <w:szCs w:val="20"/>
        </w:rPr>
      </w:pPr>
      <w:r>
        <w:rPr>
          <w:rFonts w:hint="eastAsia" w:ascii="宋体" w:hAnsi="宋体"/>
          <w:szCs w:val="20"/>
        </w:rPr>
        <w:t>（3）落叶树新稍生长健壮，叶片大小、颜色正常。在一般条件下，无落叶、焦叶、卷叶，正常叶片保存率在95%以上。针叶树针叶宿存3年以上，结果枝条在10%以下。</w:t>
      </w:r>
    </w:p>
    <w:p>
      <w:pPr>
        <w:widowControl/>
        <w:adjustRightInd w:val="0"/>
        <w:snapToGrid w:val="0"/>
        <w:spacing w:line="400" w:lineRule="exact"/>
        <w:ind w:firstLine="420" w:firstLineChars="200"/>
        <w:jc w:val="left"/>
        <w:rPr>
          <w:rFonts w:ascii="宋体" w:hAnsi="宋体"/>
          <w:szCs w:val="20"/>
        </w:rPr>
      </w:pPr>
      <w:r>
        <w:rPr>
          <w:rFonts w:hint="eastAsia" w:ascii="宋体" w:hAnsi="宋体"/>
          <w:szCs w:val="20"/>
        </w:rPr>
        <w:t>（4）花坛、花带轮廓清晰，整齐美观，色彩艳丽，无缺株，无残花败叶。</w:t>
      </w:r>
    </w:p>
    <w:p>
      <w:pPr>
        <w:widowControl/>
        <w:adjustRightInd w:val="0"/>
        <w:snapToGrid w:val="0"/>
        <w:spacing w:line="400" w:lineRule="exact"/>
        <w:ind w:firstLine="420" w:firstLineChars="200"/>
        <w:jc w:val="left"/>
        <w:rPr>
          <w:rFonts w:ascii="宋体" w:hAnsi="宋体"/>
          <w:szCs w:val="20"/>
        </w:rPr>
      </w:pPr>
      <w:r>
        <w:rPr>
          <w:rFonts w:hint="eastAsia" w:ascii="宋体" w:hAnsi="宋体"/>
          <w:szCs w:val="20"/>
        </w:rPr>
        <w:t>（5）草坪机地被植物整齐，覆盖率99%以上，草坪内无杂草，生长茂盛颜色正常，不枯黄。草坪绿色期：冷季型草不得少于300天；暖季型草不得少于210天。每年修剪暖季型6次以上，冷季型15次以上；无病虫害。</w:t>
      </w:r>
    </w:p>
    <w:p>
      <w:pPr>
        <w:widowControl/>
        <w:adjustRightInd w:val="0"/>
        <w:snapToGrid w:val="0"/>
        <w:spacing w:line="400" w:lineRule="exact"/>
        <w:ind w:firstLine="420" w:firstLineChars="200"/>
        <w:jc w:val="left"/>
        <w:rPr>
          <w:rFonts w:ascii="宋体" w:hAnsi="宋体"/>
          <w:szCs w:val="20"/>
        </w:rPr>
      </w:pPr>
      <w:r>
        <w:rPr>
          <w:rFonts w:hint="eastAsia" w:ascii="宋体" w:hAnsi="宋体"/>
          <w:szCs w:val="20"/>
        </w:rPr>
        <w:t>（6）病虫害控制及时。园林树木无蛀干害虫的活卵、活虫；在园林树木主干、主枝、细条上介壳虫的活虫数不超过2%，且平均被害株数不得超过1%。叶片上无虫粪、虫网。被虫咬得叶片每株不得超过2%。</w:t>
      </w:r>
    </w:p>
    <w:p>
      <w:pPr>
        <w:widowControl/>
        <w:adjustRightInd w:val="0"/>
        <w:snapToGrid w:val="0"/>
        <w:spacing w:line="400" w:lineRule="exact"/>
        <w:ind w:firstLine="420" w:firstLineChars="200"/>
        <w:jc w:val="left"/>
        <w:rPr>
          <w:rFonts w:ascii="宋体" w:hAnsi="宋体"/>
          <w:szCs w:val="20"/>
        </w:rPr>
      </w:pPr>
      <w:r>
        <w:rPr>
          <w:rFonts w:hint="eastAsia" w:ascii="宋体" w:hAnsi="宋体"/>
          <w:szCs w:val="20"/>
        </w:rPr>
        <w:t>3、垂直绿化应根据不同植物的攀缘特点，及时采取相应的牵引、设置网架等技术措施，视攀缘植物生长习性，覆盖率不得低于90%。开花的攀缘植物应适时开花，且花繁色艳。</w:t>
      </w:r>
    </w:p>
    <w:p>
      <w:pPr>
        <w:widowControl/>
        <w:adjustRightInd w:val="0"/>
        <w:snapToGrid w:val="0"/>
        <w:spacing w:line="400" w:lineRule="exact"/>
        <w:ind w:firstLine="420" w:firstLineChars="200"/>
        <w:jc w:val="left"/>
        <w:rPr>
          <w:rFonts w:ascii="宋体" w:hAnsi="宋体"/>
          <w:szCs w:val="20"/>
        </w:rPr>
      </w:pPr>
      <w:r>
        <w:rPr>
          <w:rFonts w:hint="eastAsia" w:ascii="宋体" w:hAnsi="宋体"/>
          <w:szCs w:val="20"/>
        </w:rPr>
        <w:t>4、绿地整洁，无杂物（砖石瓦片、筐和塑料袋等废弃物）、无白色污染（树挂），对绿化生产垃圾（如树枝、树叶、草屑等）、绿地内水面无杂物，重点地区随产随清，其他地区日产日清，做到巡视保洁。</w:t>
      </w:r>
    </w:p>
    <w:p>
      <w:pPr>
        <w:widowControl/>
        <w:adjustRightInd w:val="0"/>
        <w:snapToGrid w:val="0"/>
        <w:spacing w:line="400" w:lineRule="exact"/>
        <w:ind w:firstLine="420" w:firstLineChars="200"/>
        <w:jc w:val="left"/>
        <w:rPr>
          <w:rFonts w:ascii="宋体" w:hAnsi="宋体"/>
          <w:szCs w:val="20"/>
        </w:rPr>
      </w:pPr>
      <w:r>
        <w:rPr>
          <w:rFonts w:hint="eastAsia" w:ascii="宋体" w:hAnsi="宋体"/>
          <w:szCs w:val="20"/>
        </w:rPr>
        <w:t>5、栏杆、标示、雕塑等园林设施及小品完整、安全，维护及时。</w:t>
      </w:r>
    </w:p>
    <w:p>
      <w:pPr>
        <w:widowControl/>
        <w:adjustRightInd w:val="0"/>
        <w:snapToGrid w:val="0"/>
        <w:spacing w:line="400" w:lineRule="exact"/>
        <w:ind w:firstLine="420" w:firstLineChars="200"/>
        <w:jc w:val="left"/>
        <w:rPr>
          <w:rFonts w:ascii="宋体" w:hAnsi="宋体"/>
          <w:szCs w:val="20"/>
        </w:rPr>
      </w:pPr>
      <w:r>
        <w:rPr>
          <w:rFonts w:hint="eastAsia" w:ascii="宋体" w:hAnsi="宋体"/>
          <w:szCs w:val="20"/>
        </w:rPr>
        <w:t>6、绿地完整，无堆物、堆料、搭棚，树干上无钉栓刻画等现象。行道树下距树干2m范围内无堆物、堆料、圈栏或搭棚设摊等影响树木生长和养护管理的现象。及时制止人为践踏行为，保证绿地内因人为原因造成的倾斜、死亡苗木不超过0.1%。</w:t>
      </w:r>
    </w:p>
    <w:p>
      <w:pPr>
        <w:widowControl/>
        <w:adjustRightInd w:val="0"/>
        <w:snapToGrid w:val="0"/>
        <w:spacing w:line="360" w:lineRule="auto"/>
        <w:jc w:val="left"/>
        <w:rPr>
          <w:rFonts w:ascii="宋体" w:hAnsi="宋体"/>
        </w:rPr>
      </w:pPr>
      <w:r>
        <w:rPr>
          <w:rFonts w:hint="eastAsia" w:ascii="宋体" w:hAnsi="宋体"/>
        </w:rPr>
        <w:br w:type="page"/>
      </w:r>
      <w:r>
        <w:rPr>
          <w:rFonts w:hint="eastAsia" w:ascii="宋体" w:hAnsi="宋体"/>
        </w:rPr>
        <w:t>附件四：</w:t>
      </w:r>
    </w:p>
    <w:p>
      <w:pPr>
        <w:widowControl/>
        <w:adjustRightInd w:val="0"/>
        <w:snapToGrid w:val="0"/>
        <w:spacing w:line="360" w:lineRule="auto"/>
        <w:jc w:val="center"/>
        <w:rPr>
          <w:rFonts w:ascii="宋体" w:hAnsi="宋体"/>
        </w:rPr>
      </w:pPr>
      <w:bookmarkStart w:id="722" w:name="招标文件04章合同条款及格式03_08"/>
      <w:bookmarkEnd w:id="722"/>
      <w:bookmarkStart w:id="723" w:name="_Toc365444161"/>
      <w:bookmarkStart w:id="724" w:name="_Toc30751"/>
      <w:bookmarkStart w:id="725" w:name="_Toc371274969"/>
      <w:bookmarkStart w:id="726" w:name="_Toc330976817"/>
      <w:bookmarkStart w:id="727" w:name="_Toc367798887"/>
      <w:r>
        <w:rPr>
          <w:rFonts w:hint="eastAsia" w:ascii="宋体" w:hAnsi="宋体"/>
          <w:b/>
          <w:sz w:val="32"/>
          <w:szCs w:val="32"/>
        </w:rPr>
        <w:t>建设工程廉政责任书</w:t>
      </w:r>
    </w:p>
    <w:p>
      <w:pPr>
        <w:widowControl/>
        <w:adjustRightInd w:val="0"/>
        <w:snapToGrid w:val="0"/>
        <w:spacing w:line="360" w:lineRule="auto"/>
        <w:jc w:val="left"/>
        <w:rPr>
          <w:rFonts w:ascii="宋体" w:hAnsi="宋体"/>
        </w:rPr>
      </w:pPr>
      <w:r>
        <w:rPr>
          <w:rFonts w:hint="eastAsia" w:ascii="宋体" w:hAnsi="宋体"/>
        </w:rPr>
        <w:t>发包人：重庆</w:t>
      </w:r>
      <w:r>
        <w:rPr>
          <w:rFonts w:ascii="宋体" w:hAnsi="宋体"/>
        </w:rPr>
        <w:t>两江新区水土高新技术产业园建设投资有限公司</w:t>
      </w:r>
      <w:r>
        <w:rPr>
          <w:rFonts w:hint="eastAsia" w:ascii="宋体" w:hAnsi="宋体"/>
        </w:rPr>
        <w:t>　　　　　　　　　　　　　　　　　　　　　　</w:t>
      </w:r>
    </w:p>
    <w:p>
      <w:pPr>
        <w:widowControl/>
        <w:adjustRightInd w:val="0"/>
        <w:snapToGrid w:val="0"/>
        <w:spacing w:line="360" w:lineRule="auto"/>
        <w:jc w:val="left"/>
        <w:rPr>
          <w:rFonts w:ascii="宋体" w:hAnsi="宋体"/>
        </w:rPr>
      </w:pPr>
    </w:p>
    <w:p>
      <w:pPr>
        <w:widowControl/>
        <w:adjustRightInd w:val="0"/>
        <w:snapToGrid w:val="0"/>
        <w:spacing w:line="360" w:lineRule="auto"/>
        <w:jc w:val="left"/>
        <w:rPr>
          <w:rFonts w:ascii="宋体" w:hAnsi="宋体"/>
        </w:rPr>
      </w:pPr>
      <w:r>
        <w:rPr>
          <w:rFonts w:hint="eastAsia" w:ascii="宋体" w:hAnsi="宋体"/>
        </w:rPr>
        <w:t>承包人：　　　　　　　　　　　　　　　　　　　　　　</w:t>
      </w:r>
    </w:p>
    <w:p>
      <w:pPr>
        <w:widowControl/>
        <w:adjustRightInd w:val="0"/>
        <w:snapToGrid w:val="0"/>
        <w:spacing w:line="360" w:lineRule="auto"/>
        <w:jc w:val="left"/>
        <w:rPr>
          <w:rFonts w:ascii="宋体" w:hAnsi="宋体"/>
        </w:rPr>
      </w:pPr>
    </w:p>
    <w:p>
      <w:pPr>
        <w:widowControl/>
        <w:adjustRightInd w:val="0"/>
        <w:snapToGrid w:val="0"/>
        <w:spacing w:line="400" w:lineRule="exact"/>
        <w:jc w:val="left"/>
        <w:rPr>
          <w:rFonts w:ascii="宋体" w:hAnsi="宋体"/>
          <w:b/>
        </w:rPr>
      </w:pPr>
      <w:r>
        <w:rPr>
          <w:rFonts w:hint="eastAsia" w:ascii="宋体" w:hAnsi="宋体"/>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Pr>
          <w:rFonts w:hint="eastAsia" w:ascii="宋体" w:hAnsi="宋体"/>
          <w:b/>
        </w:rPr>
        <w:t>　　</w:t>
      </w:r>
    </w:p>
    <w:p>
      <w:pPr>
        <w:widowControl/>
        <w:adjustRightInd w:val="0"/>
        <w:snapToGrid w:val="0"/>
        <w:spacing w:line="400" w:lineRule="exact"/>
        <w:jc w:val="left"/>
        <w:rPr>
          <w:rFonts w:ascii="宋体" w:hAnsi="宋体"/>
          <w:b/>
        </w:rPr>
      </w:pPr>
      <w:r>
        <w:rPr>
          <w:rFonts w:hint="eastAsia" w:ascii="宋体" w:hAnsi="宋体"/>
          <w:b/>
        </w:rPr>
        <w:t>一、双方的责任</w:t>
      </w:r>
    </w:p>
    <w:p>
      <w:pPr>
        <w:widowControl/>
        <w:adjustRightInd w:val="0"/>
        <w:snapToGrid w:val="0"/>
        <w:spacing w:line="400" w:lineRule="exact"/>
        <w:jc w:val="left"/>
        <w:rPr>
          <w:rFonts w:ascii="宋体" w:hAnsi="宋体"/>
        </w:rPr>
      </w:pPr>
      <w:r>
        <w:rPr>
          <w:rFonts w:hint="eastAsia" w:ascii="宋体" w:hAnsi="宋体"/>
        </w:rPr>
        <w:t>　　1.1应严格遵守国家关于建设工程的有关法律、法规，相关政策，以及廉政建设的各项规定。</w:t>
      </w:r>
    </w:p>
    <w:p>
      <w:pPr>
        <w:widowControl/>
        <w:adjustRightInd w:val="0"/>
        <w:snapToGrid w:val="0"/>
        <w:spacing w:line="400" w:lineRule="exact"/>
        <w:jc w:val="left"/>
        <w:rPr>
          <w:rFonts w:ascii="宋体" w:hAnsi="宋体"/>
        </w:rPr>
      </w:pPr>
      <w:r>
        <w:rPr>
          <w:rFonts w:hint="eastAsia" w:ascii="宋体" w:hAnsi="宋体"/>
        </w:rPr>
        <w:t>　　1.2严格执行建设工程合同文件，自觉按合同办事。</w:t>
      </w:r>
    </w:p>
    <w:p>
      <w:pPr>
        <w:widowControl/>
        <w:adjustRightInd w:val="0"/>
        <w:snapToGrid w:val="0"/>
        <w:spacing w:line="400" w:lineRule="exact"/>
        <w:jc w:val="left"/>
        <w:rPr>
          <w:rFonts w:ascii="宋体" w:hAnsi="宋体"/>
        </w:rPr>
      </w:pPr>
      <w:r>
        <w:rPr>
          <w:rFonts w:hint="eastAsia" w:ascii="宋体" w:hAnsi="宋体"/>
        </w:rPr>
        <w:t>　　1.3各项活动必须坚持公开、公平、公正、诚信、透明的原则(除法律法规另有规定者外)，不得为获取不正当的利益，损害国家、集体和对方利益，不得违反建设工程管理的规章制度。</w:t>
      </w:r>
    </w:p>
    <w:p>
      <w:pPr>
        <w:widowControl/>
        <w:adjustRightInd w:val="0"/>
        <w:snapToGrid w:val="0"/>
        <w:spacing w:line="400" w:lineRule="exact"/>
        <w:jc w:val="left"/>
        <w:rPr>
          <w:rFonts w:ascii="宋体" w:hAnsi="宋体"/>
          <w:b/>
        </w:rPr>
      </w:pPr>
      <w:r>
        <w:rPr>
          <w:rFonts w:hint="eastAsia" w:ascii="宋体" w:hAnsi="宋体"/>
        </w:rPr>
        <w:t>　　1.4发现对方在业务活动中有违规、违纪、违法行为的，应及时提醒对方，情节严重的，应向其上级主管部门或纪检监察、司法等有关机关举报。</w:t>
      </w:r>
      <w:r>
        <w:rPr>
          <w:rFonts w:hint="eastAsia" w:ascii="宋体" w:hAnsi="宋体"/>
          <w:b/>
        </w:rPr>
        <w:t>　　</w:t>
      </w:r>
    </w:p>
    <w:p>
      <w:pPr>
        <w:widowControl/>
        <w:adjustRightInd w:val="0"/>
        <w:snapToGrid w:val="0"/>
        <w:spacing w:line="400" w:lineRule="exact"/>
        <w:jc w:val="left"/>
        <w:rPr>
          <w:rFonts w:ascii="宋体" w:hAnsi="宋体"/>
          <w:b/>
        </w:rPr>
      </w:pPr>
      <w:r>
        <w:rPr>
          <w:rFonts w:hint="eastAsia" w:ascii="宋体" w:hAnsi="宋体"/>
          <w:b/>
        </w:rPr>
        <w:t>二、发包人责任</w:t>
      </w:r>
    </w:p>
    <w:p>
      <w:pPr>
        <w:widowControl/>
        <w:adjustRightInd w:val="0"/>
        <w:snapToGrid w:val="0"/>
        <w:spacing w:line="400" w:lineRule="exact"/>
        <w:jc w:val="left"/>
        <w:rPr>
          <w:rFonts w:ascii="宋体" w:hAnsi="宋体"/>
        </w:rPr>
      </w:pPr>
      <w:r>
        <w:rPr>
          <w:rFonts w:hint="eastAsia" w:ascii="宋体" w:hAnsi="宋体"/>
        </w:rPr>
        <w:t>　　发包人的领导和从事该建设工程项目的工作人员，在工程建设的事前、事中、事后应遵守以下规定：</w:t>
      </w:r>
    </w:p>
    <w:p>
      <w:pPr>
        <w:widowControl/>
        <w:adjustRightInd w:val="0"/>
        <w:snapToGrid w:val="0"/>
        <w:spacing w:line="400" w:lineRule="exact"/>
        <w:jc w:val="left"/>
        <w:rPr>
          <w:rFonts w:ascii="宋体" w:hAnsi="宋体"/>
        </w:rPr>
      </w:pPr>
      <w:r>
        <w:rPr>
          <w:rFonts w:hint="eastAsia" w:ascii="宋体" w:hAnsi="宋体"/>
        </w:rPr>
        <w:t>　　2.1不得向承包人和相关单位索要或接受回扣、礼金、有价证券、贵重物品和好处费、感谢费等。</w:t>
      </w:r>
    </w:p>
    <w:p>
      <w:pPr>
        <w:widowControl/>
        <w:adjustRightInd w:val="0"/>
        <w:snapToGrid w:val="0"/>
        <w:spacing w:line="400" w:lineRule="exact"/>
        <w:jc w:val="left"/>
        <w:rPr>
          <w:rFonts w:ascii="宋体" w:hAnsi="宋体"/>
        </w:rPr>
      </w:pPr>
      <w:r>
        <w:rPr>
          <w:rFonts w:hint="eastAsia" w:ascii="宋体" w:hAnsi="宋体"/>
        </w:rPr>
        <w:t>　　2.2不得在承包人和相关单位报销任何应由发包人或个人支付的费用。</w:t>
      </w:r>
    </w:p>
    <w:p>
      <w:pPr>
        <w:widowControl/>
        <w:adjustRightInd w:val="0"/>
        <w:snapToGrid w:val="0"/>
        <w:spacing w:line="400" w:lineRule="exact"/>
        <w:jc w:val="left"/>
        <w:rPr>
          <w:rFonts w:ascii="宋体" w:hAnsi="宋体"/>
        </w:rPr>
      </w:pPr>
      <w:r>
        <w:rPr>
          <w:rFonts w:hint="eastAsia" w:ascii="宋体" w:hAnsi="宋体"/>
        </w:rPr>
        <w:t>　　2.3不得要求、暗示或接受承包人和相关单位为个人装修住房、婚丧嫁娶、配偶子女的工作安排以及出国(境)、旅游等提供方便。</w:t>
      </w:r>
    </w:p>
    <w:p>
      <w:pPr>
        <w:widowControl/>
        <w:adjustRightInd w:val="0"/>
        <w:snapToGrid w:val="0"/>
        <w:spacing w:line="400" w:lineRule="exact"/>
        <w:jc w:val="left"/>
        <w:rPr>
          <w:rFonts w:ascii="宋体" w:hAnsi="宋体"/>
        </w:rPr>
      </w:pPr>
      <w:r>
        <w:rPr>
          <w:rFonts w:hint="eastAsia" w:ascii="宋体" w:hAnsi="宋体"/>
        </w:rPr>
        <w:t>　　2.4不得参加有可能影响公正执行公务的承包人和相关单位的宴请、健身、娱乐等活动。</w:t>
      </w:r>
    </w:p>
    <w:p>
      <w:pPr>
        <w:widowControl/>
        <w:adjustRightInd w:val="0"/>
        <w:snapToGrid w:val="0"/>
        <w:spacing w:line="400" w:lineRule="exact"/>
        <w:jc w:val="left"/>
        <w:rPr>
          <w:rFonts w:ascii="宋体" w:hAnsi="宋体"/>
          <w:b/>
        </w:rPr>
      </w:pPr>
      <w:r>
        <w:rPr>
          <w:rFonts w:hint="eastAsia" w:ascii="宋体" w:hAnsi="宋体"/>
        </w:rPr>
        <w:t>　　2.5不得向承包人和相关单位介绍或为配偶、子女、亲属参与同发包人工程建设管理合同有关的业务活动；不得以任何理由要求承包人和相关单位使用某种产品、材料和设备。</w:t>
      </w:r>
      <w:r>
        <w:rPr>
          <w:rFonts w:hint="eastAsia" w:ascii="宋体" w:hAnsi="宋体"/>
          <w:b/>
        </w:rPr>
        <w:t>　　</w:t>
      </w:r>
    </w:p>
    <w:p>
      <w:pPr>
        <w:widowControl/>
        <w:adjustRightInd w:val="0"/>
        <w:snapToGrid w:val="0"/>
        <w:spacing w:line="400" w:lineRule="exact"/>
        <w:jc w:val="left"/>
        <w:rPr>
          <w:rFonts w:ascii="宋体" w:hAnsi="宋体"/>
          <w:b/>
        </w:rPr>
      </w:pPr>
      <w:r>
        <w:rPr>
          <w:rFonts w:hint="eastAsia" w:ascii="宋体" w:hAnsi="宋体"/>
          <w:b/>
        </w:rPr>
        <w:t>三、承包人责任</w:t>
      </w:r>
    </w:p>
    <w:p>
      <w:pPr>
        <w:widowControl/>
        <w:adjustRightInd w:val="0"/>
        <w:snapToGrid w:val="0"/>
        <w:spacing w:line="400" w:lineRule="exact"/>
        <w:jc w:val="left"/>
        <w:rPr>
          <w:rFonts w:ascii="宋体" w:hAnsi="宋体"/>
        </w:rPr>
      </w:pPr>
      <w:r>
        <w:rPr>
          <w:rFonts w:hint="eastAsia" w:ascii="宋体" w:hAnsi="宋体"/>
        </w:rPr>
        <w:t>　　应与发包人保持正常的业务交往，按照有关法律法规和程序开展业务工作，严格执行工程建设的有关方针、政策，执行工程建设强制性标准，并遵守以下规定：</w:t>
      </w:r>
    </w:p>
    <w:p>
      <w:pPr>
        <w:widowControl/>
        <w:adjustRightInd w:val="0"/>
        <w:snapToGrid w:val="0"/>
        <w:spacing w:line="400" w:lineRule="exact"/>
        <w:jc w:val="left"/>
        <w:rPr>
          <w:rFonts w:ascii="宋体" w:hAnsi="宋体"/>
        </w:rPr>
      </w:pPr>
      <w:r>
        <w:rPr>
          <w:rFonts w:hint="eastAsia" w:ascii="宋体" w:hAnsi="宋体"/>
        </w:rPr>
        <w:t>　　3.1不得以任何理由向发包人及其工作人员索要、接受或赠送礼金、有价证券、贵重物品及回扣、好处费、感谢费等。</w:t>
      </w:r>
    </w:p>
    <w:p>
      <w:pPr>
        <w:widowControl/>
        <w:adjustRightInd w:val="0"/>
        <w:snapToGrid w:val="0"/>
        <w:spacing w:line="400" w:lineRule="exact"/>
        <w:jc w:val="left"/>
        <w:rPr>
          <w:rFonts w:ascii="宋体" w:hAnsi="宋体"/>
        </w:rPr>
      </w:pPr>
      <w:r>
        <w:rPr>
          <w:rFonts w:hint="eastAsia" w:ascii="宋体" w:hAnsi="宋体"/>
        </w:rPr>
        <w:t>　　3.2不得以任何理由为发包人和相关单位报销应由对方或个人支付的费用。</w:t>
      </w:r>
    </w:p>
    <w:p>
      <w:pPr>
        <w:widowControl/>
        <w:adjustRightInd w:val="0"/>
        <w:snapToGrid w:val="0"/>
        <w:spacing w:line="400" w:lineRule="exact"/>
        <w:jc w:val="left"/>
        <w:rPr>
          <w:rFonts w:ascii="宋体" w:hAnsi="宋体"/>
        </w:rPr>
      </w:pPr>
      <w:r>
        <w:rPr>
          <w:rFonts w:hint="eastAsia" w:ascii="宋体" w:hAnsi="宋体"/>
        </w:rPr>
        <w:t>　　3.3不得接受或暗示为发包人、相关单位或个人装修住房、婚丧嫁娶、配偶子女的工作安排以及出国(境)、旅游等提供方便。</w:t>
      </w:r>
    </w:p>
    <w:p>
      <w:pPr>
        <w:widowControl/>
        <w:adjustRightInd w:val="0"/>
        <w:snapToGrid w:val="0"/>
        <w:spacing w:line="400" w:lineRule="exact"/>
        <w:jc w:val="left"/>
        <w:rPr>
          <w:rFonts w:ascii="宋体" w:hAnsi="宋体"/>
          <w:b/>
        </w:rPr>
      </w:pPr>
      <w:r>
        <w:rPr>
          <w:rFonts w:hint="eastAsia" w:ascii="宋体" w:hAnsi="宋体"/>
        </w:rPr>
        <w:t>　　3.4不得以任何理由为发包人、相关单位或个人组织有可能影响公正执行公务的宴请、健身、娱乐等活动。</w:t>
      </w:r>
      <w:r>
        <w:rPr>
          <w:rFonts w:hint="eastAsia" w:ascii="宋体" w:hAnsi="宋体"/>
          <w:b/>
        </w:rPr>
        <w:t>　　</w:t>
      </w:r>
    </w:p>
    <w:p>
      <w:pPr>
        <w:widowControl/>
        <w:adjustRightInd w:val="0"/>
        <w:snapToGrid w:val="0"/>
        <w:spacing w:line="400" w:lineRule="exact"/>
        <w:jc w:val="left"/>
        <w:rPr>
          <w:rFonts w:ascii="宋体" w:hAnsi="宋体"/>
          <w:b/>
        </w:rPr>
      </w:pPr>
      <w:r>
        <w:rPr>
          <w:rFonts w:hint="eastAsia" w:ascii="宋体" w:hAnsi="宋体"/>
          <w:b/>
        </w:rPr>
        <w:t>四、违约责任</w:t>
      </w:r>
    </w:p>
    <w:p>
      <w:pPr>
        <w:widowControl/>
        <w:adjustRightInd w:val="0"/>
        <w:snapToGrid w:val="0"/>
        <w:spacing w:line="400" w:lineRule="exact"/>
        <w:jc w:val="left"/>
        <w:rPr>
          <w:rFonts w:ascii="宋体" w:hAnsi="宋体"/>
        </w:rPr>
      </w:pPr>
      <w:r>
        <w:rPr>
          <w:rFonts w:hint="eastAsia" w:ascii="宋体" w:hAnsi="宋体"/>
        </w:rPr>
        <w:t>　　4.1发包人工作人员有违反本责任书第一、二条责任行为的，依据有关法律、法规给予处理；涉嫌犯罪的，移交司法机关追究刑事责任；给承包人单位造成经济损失的，应予以赔偿。</w:t>
      </w:r>
    </w:p>
    <w:p>
      <w:pPr>
        <w:widowControl/>
        <w:adjustRightInd w:val="0"/>
        <w:snapToGrid w:val="0"/>
        <w:spacing w:line="400" w:lineRule="exact"/>
        <w:jc w:val="left"/>
        <w:rPr>
          <w:rFonts w:ascii="宋体" w:hAnsi="宋体"/>
        </w:rPr>
      </w:pPr>
      <w:r>
        <w:rPr>
          <w:rFonts w:hint="eastAsia" w:ascii="宋体" w:hAnsi="宋体"/>
        </w:rPr>
        <w:t>　　4.2承包人工作人员有违反本责任书第一、三条责任行为的，依据有关法律法规处理；涉嫌犯罪的，移交司法机关追究刑事责任；给发包人单位造成经济损失的，应予以赔偿。</w:t>
      </w:r>
    </w:p>
    <w:p>
      <w:pPr>
        <w:widowControl/>
        <w:adjustRightInd w:val="0"/>
        <w:snapToGrid w:val="0"/>
        <w:spacing w:line="400" w:lineRule="exact"/>
        <w:jc w:val="left"/>
        <w:rPr>
          <w:rFonts w:ascii="宋体" w:hAnsi="宋体"/>
          <w:b/>
        </w:rPr>
      </w:pPr>
      <w:r>
        <w:rPr>
          <w:rFonts w:hint="eastAsia" w:ascii="宋体" w:hAnsi="宋体"/>
        </w:rPr>
        <w:t>　　4.3本责任书作为建设工程合同的组成部分，与建设工程合同具有同等法律效力。经双方签署后立即生效。</w:t>
      </w:r>
      <w:r>
        <w:rPr>
          <w:rFonts w:hint="eastAsia" w:ascii="宋体" w:hAnsi="宋体"/>
          <w:b/>
        </w:rPr>
        <w:t>　　</w:t>
      </w:r>
    </w:p>
    <w:p>
      <w:pPr>
        <w:widowControl/>
        <w:adjustRightInd w:val="0"/>
        <w:snapToGrid w:val="0"/>
        <w:spacing w:line="400" w:lineRule="exact"/>
        <w:jc w:val="left"/>
        <w:rPr>
          <w:rFonts w:ascii="宋体" w:hAnsi="宋体"/>
          <w:b/>
        </w:rPr>
      </w:pPr>
      <w:r>
        <w:rPr>
          <w:rFonts w:hint="eastAsia" w:ascii="宋体" w:hAnsi="宋体"/>
          <w:b/>
        </w:rPr>
        <w:t>五、责任书有效期</w:t>
      </w:r>
    </w:p>
    <w:p>
      <w:pPr>
        <w:widowControl/>
        <w:adjustRightInd w:val="0"/>
        <w:snapToGrid w:val="0"/>
        <w:spacing w:line="400" w:lineRule="exact"/>
        <w:jc w:val="left"/>
        <w:rPr>
          <w:rFonts w:ascii="宋体" w:hAnsi="宋体"/>
          <w:b/>
        </w:rPr>
      </w:pPr>
      <w:r>
        <w:rPr>
          <w:rFonts w:hint="eastAsia" w:ascii="宋体" w:hAnsi="宋体"/>
        </w:rPr>
        <w:t>　　本责任书的有效期为双方签署之日起至该工程项目竣工验收合格时止。</w:t>
      </w:r>
    </w:p>
    <w:p>
      <w:pPr>
        <w:widowControl/>
        <w:adjustRightInd w:val="0"/>
        <w:snapToGrid w:val="0"/>
        <w:spacing w:line="400" w:lineRule="exact"/>
        <w:jc w:val="left"/>
        <w:rPr>
          <w:rFonts w:ascii="宋体" w:hAnsi="宋体"/>
          <w:b/>
        </w:rPr>
      </w:pPr>
      <w:r>
        <w:rPr>
          <w:rFonts w:hint="eastAsia" w:ascii="宋体" w:hAnsi="宋体"/>
          <w:b/>
        </w:rPr>
        <w:t>六、责任书份数</w:t>
      </w:r>
    </w:p>
    <w:p>
      <w:pPr>
        <w:widowControl/>
        <w:adjustRightInd w:val="0"/>
        <w:snapToGrid w:val="0"/>
        <w:spacing w:line="400" w:lineRule="exact"/>
        <w:jc w:val="left"/>
        <w:rPr>
          <w:rFonts w:ascii="宋体" w:hAnsi="宋体"/>
        </w:rPr>
      </w:pPr>
      <w:r>
        <w:rPr>
          <w:rFonts w:hint="eastAsia" w:ascii="宋体" w:hAnsi="宋体"/>
        </w:rPr>
        <w:t>　　本责任书一式二份，发包人承包人各执一份，具有同等效力。</w:t>
      </w:r>
    </w:p>
    <w:p>
      <w:pPr>
        <w:widowControl/>
        <w:adjustRightInd w:val="0"/>
        <w:snapToGrid w:val="0"/>
        <w:spacing w:line="400" w:lineRule="exact"/>
        <w:jc w:val="left"/>
        <w:rPr>
          <w:rFonts w:ascii="宋体" w:hAnsi="宋体"/>
        </w:rPr>
      </w:pPr>
    </w:p>
    <w:p>
      <w:pPr>
        <w:widowControl/>
        <w:adjustRightInd w:val="0"/>
        <w:snapToGrid w:val="0"/>
        <w:spacing w:line="400" w:lineRule="exact"/>
        <w:jc w:val="left"/>
        <w:rPr>
          <w:rFonts w:ascii="宋体" w:hAnsi="宋体"/>
        </w:rPr>
      </w:pPr>
    </w:p>
    <w:p>
      <w:pPr>
        <w:widowControl/>
        <w:adjustRightInd w:val="0"/>
        <w:snapToGrid w:val="0"/>
        <w:spacing w:line="400" w:lineRule="exact"/>
        <w:jc w:val="left"/>
        <w:rPr>
          <w:rFonts w:ascii="宋体" w:hAnsi="宋体"/>
        </w:rPr>
      </w:pPr>
    </w:p>
    <w:p>
      <w:pPr>
        <w:widowControl/>
        <w:adjustRightInd w:val="0"/>
        <w:snapToGrid w:val="0"/>
        <w:spacing w:line="400" w:lineRule="exact"/>
        <w:jc w:val="left"/>
        <w:rPr>
          <w:rFonts w:ascii="宋体" w:hAnsi="宋体"/>
        </w:rPr>
      </w:pPr>
      <w:r>
        <w:rPr>
          <w:rFonts w:hint="eastAsia" w:ascii="宋体" w:hAnsi="宋体"/>
        </w:rPr>
        <w:t>发包人：　　　　　　　　　　　(公章)　　承包人：　　　　　　　　　　　(公章)</w:t>
      </w:r>
    </w:p>
    <w:p>
      <w:pPr>
        <w:widowControl/>
        <w:adjustRightInd w:val="0"/>
        <w:snapToGrid w:val="0"/>
        <w:spacing w:line="400" w:lineRule="exact"/>
        <w:jc w:val="left"/>
        <w:rPr>
          <w:rFonts w:ascii="宋体" w:hAnsi="宋体"/>
        </w:rPr>
      </w:pPr>
      <w:r>
        <w:rPr>
          <w:rFonts w:hint="eastAsia" w:ascii="宋体" w:hAnsi="宋体"/>
        </w:rPr>
        <w:t>法定地址：　　　　　　　　　　　　　　　法定地址：　　　　　　　　　　</w:t>
      </w:r>
    </w:p>
    <w:p>
      <w:pPr>
        <w:widowControl/>
        <w:adjustRightInd w:val="0"/>
        <w:snapToGrid w:val="0"/>
        <w:spacing w:line="400" w:lineRule="exact"/>
        <w:jc w:val="left"/>
        <w:rPr>
          <w:rFonts w:ascii="宋体" w:hAnsi="宋体"/>
        </w:rPr>
      </w:pPr>
      <w:r>
        <w:rPr>
          <w:rFonts w:hint="eastAsia" w:ascii="宋体" w:hAnsi="宋体"/>
        </w:rPr>
        <w:t>法定代表人或其　　　　　　　　　　　　　法定代表人或其</w:t>
      </w:r>
    </w:p>
    <w:p>
      <w:pPr>
        <w:widowControl/>
        <w:adjustRightInd w:val="0"/>
        <w:snapToGrid w:val="0"/>
        <w:spacing w:line="400" w:lineRule="exact"/>
        <w:jc w:val="left"/>
        <w:rPr>
          <w:rFonts w:ascii="宋体" w:hAnsi="宋体"/>
        </w:rPr>
      </w:pPr>
      <w:r>
        <w:rPr>
          <w:rFonts w:hint="eastAsia" w:ascii="宋体" w:hAnsi="宋体"/>
        </w:rPr>
        <w:t>委托代理人：　　　　　　　　　(签字)　　委托代理人：　　　　　　　　　(签字)</w:t>
      </w:r>
    </w:p>
    <w:p>
      <w:pPr>
        <w:widowControl/>
        <w:adjustRightInd w:val="0"/>
        <w:snapToGrid w:val="0"/>
        <w:spacing w:line="400" w:lineRule="exact"/>
        <w:jc w:val="left"/>
        <w:rPr>
          <w:rFonts w:ascii="宋体" w:hAnsi="宋体"/>
        </w:rPr>
      </w:pPr>
      <w:r>
        <w:rPr>
          <w:rFonts w:hint="eastAsia" w:ascii="宋体" w:hAnsi="宋体"/>
        </w:rPr>
        <w:t>电话：　　　　　　　　　　　　　　　　　电话：　　　　　　　　　　　　</w:t>
      </w:r>
    </w:p>
    <w:p>
      <w:pPr>
        <w:widowControl/>
        <w:adjustRightInd w:val="0"/>
        <w:snapToGrid w:val="0"/>
        <w:spacing w:line="400" w:lineRule="exact"/>
        <w:jc w:val="left"/>
        <w:rPr>
          <w:rFonts w:ascii="宋体" w:hAnsi="宋体"/>
        </w:rPr>
      </w:pPr>
      <w:r>
        <w:rPr>
          <w:rFonts w:hint="eastAsia" w:ascii="宋体" w:hAnsi="宋体"/>
        </w:rPr>
        <w:t>传真：　　　　　　　　　　　　　　　　　传真：　　　　　　　　　　　　</w:t>
      </w:r>
    </w:p>
    <w:p>
      <w:pPr>
        <w:widowControl/>
        <w:adjustRightInd w:val="0"/>
        <w:snapToGrid w:val="0"/>
        <w:spacing w:line="400" w:lineRule="exact"/>
        <w:jc w:val="left"/>
        <w:rPr>
          <w:rFonts w:ascii="宋体" w:hAnsi="宋体"/>
        </w:rPr>
      </w:pPr>
      <w:r>
        <w:rPr>
          <w:rFonts w:hint="eastAsia" w:ascii="宋体" w:hAnsi="宋体"/>
        </w:rPr>
        <w:t>电子邮箱：　　　　　　　　　　　　　　　电子邮箱：　　　　　　　　　　</w:t>
      </w:r>
    </w:p>
    <w:p>
      <w:pPr>
        <w:widowControl/>
        <w:adjustRightInd w:val="0"/>
        <w:snapToGrid w:val="0"/>
        <w:spacing w:line="400" w:lineRule="exact"/>
        <w:jc w:val="left"/>
        <w:rPr>
          <w:rFonts w:ascii="宋体" w:hAnsi="宋体"/>
        </w:rPr>
      </w:pPr>
      <w:r>
        <w:rPr>
          <w:rFonts w:hint="eastAsia" w:ascii="宋体" w:hAnsi="宋体"/>
        </w:rPr>
        <w:t>开户银行：　　　　　　　　　　　　　　　开户银行：　　　　　　　　　　</w:t>
      </w:r>
    </w:p>
    <w:p>
      <w:pPr>
        <w:widowControl/>
        <w:adjustRightInd w:val="0"/>
        <w:snapToGrid w:val="0"/>
        <w:spacing w:line="400" w:lineRule="exact"/>
        <w:jc w:val="left"/>
        <w:rPr>
          <w:rFonts w:ascii="宋体" w:hAnsi="宋体"/>
        </w:rPr>
      </w:pPr>
      <w:r>
        <w:rPr>
          <w:rFonts w:hint="eastAsia" w:ascii="宋体" w:hAnsi="宋体"/>
        </w:rPr>
        <w:t>帐号：　　　　　　　　　　　　　　　　　帐号：　　　　　　　　　　　　</w:t>
      </w:r>
    </w:p>
    <w:p>
      <w:pPr>
        <w:widowControl/>
        <w:spacing w:line="400" w:lineRule="exact"/>
        <w:jc w:val="left"/>
        <w:rPr>
          <w:rFonts w:ascii="宋体" w:hAnsi="宋体"/>
        </w:rPr>
      </w:pPr>
      <w:r>
        <w:rPr>
          <w:rFonts w:hint="eastAsia" w:ascii="宋体" w:hAnsi="宋体"/>
        </w:rPr>
        <w:t>邮政编码：　　　　　　　　　　　　　　　邮政编码：　</w:t>
      </w: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snapToGrid w:val="0"/>
        <w:spacing w:before="16" w:line="360" w:lineRule="auto"/>
        <w:jc w:val="left"/>
        <w:outlineLvl w:val="2"/>
        <w:rPr>
          <w:rFonts w:ascii="宋体" w:hAnsi="宋体" w:cs="宋体"/>
          <w:b/>
          <w:kern w:val="0"/>
          <w:szCs w:val="21"/>
        </w:rPr>
      </w:pPr>
    </w:p>
    <w:p>
      <w:pPr>
        <w:widowControl/>
        <w:snapToGrid w:val="0"/>
        <w:spacing w:before="16" w:line="360" w:lineRule="auto"/>
        <w:jc w:val="left"/>
        <w:outlineLvl w:val="2"/>
        <w:rPr>
          <w:rFonts w:ascii="宋体" w:hAnsi="宋体" w:cs="宋体"/>
          <w:b/>
          <w:kern w:val="0"/>
          <w:szCs w:val="21"/>
        </w:rPr>
      </w:pPr>
    </w:p>
    <w:p>
      <w:pPr>
        <w:widowControl/>
        <w:snapToGrid w:val="0"/>
        <w:spacing w:before="16" w:line="360" w:lineRule="auto"/>
        <w:jc w:val="left"/>
        <w:outlineLvl w:val="2"/>
        <w:rPr>
          <w:rFonts w:ascii="宋体" w:hAnsi="宋体" w:cs="宋体"/>
          <w:b/>
          <w:bCs/>
          <w:szCs w:val="21"/>
        </w:rPr>
      </w:pPr>
      <w:r>
        <w:rPr>
          <w:rFonts w:hint="eastAsia" w:ascii="宋体" w:hAnsi="宋体" w:cs="宋体"/>
          <w:b/>
          <w:kern w:val="0"/>
          <w:szCs w:val="21"/>
        </w:rPr>
        <w:t>附件五：</w:t>
      </w:r>
      <w:bookmarkEnd w:id="723"/>
      <w:bookmarkEnd w:id="724"/>
      <w:bookmarkEnd w:id="725"/>
      <w:bookmarkEnd w:id="726"/>
      <w:bookmarkEnd w:id="727"/>
    </w:p>
    <w:p>
      <w:pPr>
        <w:widowControl/>
        <w:spacing w:line="420" w:lineRule="exact"/>
        <w:jc w:val="center"/>
        <w:rPr>
          <w:rFonts w:ascii="宋体" w:hAnsi="宋体" w:cs="宋体"/>
          <w:b/>
          <w:bCs/>
          <w:sz w:val="28"/>
          <w:szCs w:val="28"/>
        </w:rPr>
      </w:pPr>
      <w:r>
        <w:rPr>
          <w:rFonts w:hint="eastAsia" w:ascii="宋体" w:hAnsi="宋体" w:cs="宋体"/>
          <w:b/>
          <w:bCs/>
          <w:sz w:val="28"/>
          <w:szCs w:val="28"/>
        </w:rPr>
        <w:t>安全生产合同</w:t>
      </w:r>
    </w:p>
    <w:p>
      <w:pPr>
        <w:widowControl/>
        <w:spacing w:line="420" w:lineRule="exact"/>
        <w:ind w:firstLine="420" w:firstLineChars="200"/>
        <w:jc w:val="left"/>
        <w:rPr>
          <w:rFonts w:ascii="宋体" w:hAnsi="宋体" w:cs="宋体"/>
          <w:szCs w:val="21"/>
        </w:rPr>
      </w:pPr>
    </w:p>
    <w:p>
      <w:pPr>
        <w:widowControl/>
        <w:spacing w:line="400" w:lineRule="exact"/>
        <w:ind w:firstLine="420" w:firstLineChars="200"/>
        <w:jc w:val="left"/>
        <w:rPr>
          <w:rFonts w:ascii="宋体" w:hAnsi="宋体" w:cs="宋体"/>
          <w:szCs w:val="21"/>
        </w:rPr>
      </w:pPr>
      <w:r>
        <w:rPr>
          <w:rFonts w:hint="eastAsia" w:ascii="宋体" w:hAnsi="宋体" w:cs="宋体"/>
          <w:szCs w:val="21"/>
        </w:rPr>
        <w:t>为在安全管理工作，本项目发包人</w:t>
      </w:r>
      <w:r>
        <w:rPr>
          <w:rFonts w:hint="eastAsia" w:ascii="宋体" w:hAnsi="宋体" w:cs="宋体"/>
          <w:szCs w:val="21"/>
          <w:u w:val="single"/>
        </w:rPr>
        <w:t>重庆</w:t>
      </w:r>
      <w:r>
        <w:rPr>
          <w:rFonts w:ascii="宋体" w:hAnsi="宋体" w:cs="宋体"/>
          <w:szCs w:val="21"/>
          <w:u w:val="single"/>
        </w:rPr>
        <w:t>两江</w:t>
      </w:r>
      <w:r>
        <w:rPr>
          <w:rFonts w:hint="eastAsia" w:ascii="宋体" w:hAnsi="宋体" w:cs="宋体"/>
          <w:szCs w:val="21"/>
          <w:u w:val="single"/>
        </w:rPr>
        <w:t>新区</w:t>
      </w:r>
      <w:r>
        <w:rPr>
          <w:rFonts w:ascii="宋体" w:hAnsi="宋体" w:cs="宋体"/>
          <w:szCs w:val="21"/>
          <w:u w:val="single"/>
        </w:rPr>
        <w:t>水土高新技术产业园建设投资有限公司</w:t>
      </w:r>
      <w:r>
        <w:rPr>
          <w:rFonts w:hint="eastAsia" w:ascii="宋体" w:hAnsi="宋体" w:cs="宋体"/>
          <w:szCs w:val="21"/>
        </w:rPr>
        <w:t>（以下简称“发包人”）与承包人</w:t>
      </w:r>
      <w:r>
        <w:rPr>
          <w:rFonts w:hint="eastAsia" w:ascii="宋体" w:hAnsi="宋体" w:cs="宋体"/>
          <w:szCs w:val="21"/>
          <w:u w:val="single"/>
        </w:rPr>
        <w:t xml:space="preserve">（全称）            </w:t>
      </w:r>
      <w:r>
        <w:rPr>
          <w:rFonts w:hint="eastAsia" w:ascii="宋体" w:hAnsi="宋体" w:cs="宋体"/>
          <w:szCs w:val="21"/>
        </w:rPr>
        <w:t>（以下简称“承包人”）特此签订安全生产合同：</w:t>
      </w:r>
    </w:p>
    <w:p>
      <w:pPr>
        <w:widowControl/>
        <w:spacing w:line="400" w:lineRule="exact"/>
        <w:jc w:val="left"/>
        <w:rPr>
          <w:rFonts w:ascii="宋体" w:hAnsi="宋体" w:cs="宋体"/>
          <w:b/>
          <w:szCs w:val="21"/>
        </w:rPr>
      </w:pPr>
      <w:bookmarkStart w:id="728" w:name="_Toc364947220"/>
      <w:r>
        <w:rPr>
          <w:rFonts w:hint="eastAsia" w:ascii="宋体" w:hAnsi="宋体" w:cs="宋体"/>
          <w:b/>
          <w:szCs w:val="21"/>
        </w:rPr>
        <w:t>一、发包人职责</w:t>
      </w:r>
      <w:bookmarkEnd w:id="728"/>
    </w:p>
    <w:p>
      <w:pPr>
        <w:widowControl/>
        <w:spacing w:line="400" w:lineRule="exact"/>
        <w:ind w:firstLine="420" w:firstLineChars="200"/>
        <w:jc w:val="left"/>
        <w:rPr>
          <w:rFonts w:ascii="宋体" w:hAnsi="宋体" w:cs="宋体"/>
          <w:szCs w:val="21"/>
        </w:rPr>
      </w:pPr>
      <w:r>
        <w:rPr>
          <w:rFonts w:hint="eastAsia" w:ascii="宋体" w:hAnsi="宋体" w:cs="宋体"/>
          <w:szCs w:val="21"/>
        </w:rPr>
        <w:t>1．严格遵守国家有关安全生产的法律法规，认真执行工程承包合同中的有关安全要求。</w:t>
      </w:r>
    </w:p>
    <w:p>
      <w:pPr>
        <w:widowControl/>
        <w:spacing w:line="400" w:lineRule="exact"/>
        <w:ind w:firstLine="420" w:firstLineChars="200"/>
        <w:jc w:val="left"/>
        <w:rPr>
          <w:rFonts w:ascii="宋体" w:hAnsi="宋体" w:cs="宋体"/>
          <w:szCs w:val="21"/>
        </w:rPr>
      </w:pPr>
      <w:r>
        <w:rPr>
          <w:rFonts w:hint="eastAsia" w:ascii="宋体" w:hAnsi="宋体" w:cs="宋体"/>
          <w:szCs w:val="21"/>
        </w:rPr>
        <w:t>2．按照“安全第一、预防为主”和坚持“管生产必须管安全”的原则进行安全生产管理，做到生产与安全工作同时计划、布置、检查、总结和评比。</w:t>
      </w:r>
    </w:p>
    <w:p>
      <w:pPr>
        <w:widowControl/>
        <w:spacing w:line="400" w:lineRule="exact"/>
        <w:ind w:firstLine="420" w:firstLineChars="200"/>
        <w:jc w:val="left"/>
        <w:rPr>
          <w:rFonts w:ascii="宋体" w:hAnsi="宋体" w:cs="宋体"/>
          <w:szCs w:val="21"/>
        </w:rPr>
      </w:pPr>
      <w:r>
        <w:rPr>
          <w:rFonts w:hint="eastAsia" w:ascii="宋体" w:hAnsi="宋体" w:cs="宋体"/>
          <w:szCs w:val="21"/>
        </w:rPr>
        <w:t>3．重要的安全设施必须坚持与主体工程“三同时”的原则，即：同时设计、审批，同时施工，同时验收，投入使用。</w:t>
      </w:r>
    </w:p>
    <w:p>
      <w:pPr>
        <w:widowControl/>
        <w:spacing w:line="400" w:lineRule="exact"/>
        <w:ind w:firstLine="420" w:firstLineChars="200"/>
        <w:jc w:val="left"/>
        <w:rPr>
          <w:rFonts w:ascii="宋体" w:hAnsi="宋体" w:cs="宋体"/>
          <w:szCs w:val="21"/>
        </w:rPr>
      </w:pPr>
      <w:r>
        <w:rPr>
          <w:rFonts w:hint="eastAsia" w:ascii="宋体" w:hAnsi="宋体" w:cs="宋体"/>
          <w:szCs w:val="21"/>
        </w:rPr>
        <w:t>4．定期召开安全生产调度会，及时传达中央及地方有关安全生产的精神。</w:t>
      </w:r>
    </w:p>
    <w:p>
      <w:pPr>
        <w:widowControl/>
        <w:spacing w:line="400" w:lineRule="exact"/>
        <w:ind w:firstLine="420" w:firstLineChars="200"/>
        <w:jc w:val="left"/>
        <w:rPr>
          <w:rFonts w:ascii="宋体" w:hAnsi="宋体" w:cs="宋体"/>
          <w:szCs w:val="21"/>
        </w:rPr>
      </w:pPr>
      <w:r>
        <w:rPr>
          <w:rFonts w:hint="eastAsia" w:ascii="宋体" w:hAnsi="宋体" w:cs="宋体"/>
          <w:szCs w:val="21"/>
        </w:rPr>
        <w:t>5．组织对承包人施工现场安全生产检查，监督承包人及时处理发现的各项安全隐患。</w:t>
      </w:r>
    </w:p>
    <w:p>
      <w:pPr>
        <w:widowControl/>
        <w:spacing w:line="400" w:lineRule="exact"/>
        <w:jc w:val="left"/>
        <w:rPr>
          <w:rFonts w:ascii="宋体" w:hAnsi="宋体" w:cs="宋体"/>
          <w:b/>
          <w:szCs w:val="21"/>
        </w:rPr>
      </w:pPr>
      <w:bookmarkStart w:id="729" w:name="_Toc364947221"/>
      <w:r>
        <w:rPr>
          <w:rFonts w:hint="eastAsia" w:ascii="宋体" w:hAnsi="宋体" w:cs="宋体"/>
          <w:b/>
          <w:szCs w:val="21"/>
        </w:rPr>
        <w:t>二、承包人职责</w:t>
      </w:r>
      <w:bookmarkEnd w:id="729"/>
      <w:r>
        <w:rPr>
          <w:rFonts w:hint="eastAsia" w:ascii="宋体" w:hAnsi="宋体" w:cs="宋体"/>
          <w:b/>
          <w:szCs w:val="21"/>
        </w:rPr>
        <w:t>（应参照建筑工程进行修订）</w:t>
      </w:r>
    </w:p>
    <w:p>
      <w:pPr>
        <w:widowControl/>
        <w:spacing w:line="400" w:lineRule="exact"/>
        <w:ind w:firstLine="420" w:firstLineChars="200"/>
        <w:jc w:val="left"/>
        <w:rPr>
          <w:rFonts w:ascii="宋体" w:hAnsi="宋体" w:cs="宋体"/>
          <w:szCs w:val="21"/>
        </w:rPr>
      </w:pPr>
      <w:r>
        <w:rPr>
          <w:rFonts w:hint="eastAsia" w:ascii="宋体" w:hAnsi="宋体" w:cs="宋体"/>
          <w:szCs w:val="21"/>
        </w:rPr>
        <w:t>1．严格遵守国家有关安全生产的法律法规、交通部颁发的《公路工程施工安全技术规程》（JTJ 076—95）和《公路筑养路机械操作规程》有关安全生产的规定，认真执行工程承包合现中的有安全要求。</w:t>
      </w:r>
    </w:p>
    <w:p>
      <w:pPr>
        <w:widowControl/>
        <w:spacing w:line="400" w:lineRule="exact"/>
        <w:ind w:firstLine="420" w:firstLineChars="200"/>
        <w:jc w:val="left"/>
        <w:rPr>
          <w:rFonts w:ascii="宋体" w:hAnsi="宋体" w:cs="宋体"/>
          <w:szCs w:val="21"/>
        </w:rPr>
      </w:pPr>
      <w:r>
        <w:rPr>
          <w:rFonts w:hint="eastAsia" w:ascii="宋体" w:hAnsi="宋体" w:cs="宋体"/>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widowControl/>
        <w:spacing w:line="400" w:lineRule="exact"/>
        <w:ind w:firstLine="420" w:firstLineChars="200"/>
        <w:jc w:val="left"/>
        <w:rPr>
          <w:rFonts w:ascii="宋体" w:hAnsi="宋体" w:cs="宋体"/>
          <w:szCs w:val="21"/>
        </w:rPr>
      </w:pPr>
      <w:r>
        <w:rPr>
          <w:rFonts w:hint="eastAsia" w:ascii="宋体" w:hAnsi="宋体" w:cs="宋体"/>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widowControl/>
        <w:spacing w:line="400" w:lineRule="exact"/>
        <w:ind w:firstLine="420" w:firstLineChars="200"/>
        <w:jc w:val="left"/>
        <w:rPr>
          <w:rFonts w:ascii="宋体" w:hAnsi="宋体" w:cs="宋体"/>
          <w:szCs w:val="21"/>
        </w:rPr>
      </w:pPr>
      <w:r>
        <w:rPr>
          <w:rFonts w:hint="eastAsia" w:ascii="宋体" w:hAnsi="宋体" w:cs="宋体"/>
          <w:szCs w:val="21"/>
        </w:rPr>
        <w:t>4．承包人在任何时候都应采取各种合理的预防措施，防止其员工发生任何违法、违禁、暴力或妨碍治安的行为。</w:t>
      </w:r>
    </w:p>
    <w:p>
      <w:pPr>
        <w:widowControl/>
        <w:spacing w:line="400" w:lineRule="exact"/>
        <w:ind w:firstLine="420" w:firstLineChars="200"/>
        <w:jc w:val="left"/>
        <w:rPr>
          <w:rFonts w:ascii="宋体" w:hAnsi="宋体" w:cs="宋体"/>
          <w:szCs w:val="21"/>
        </w:rPr>
      </w:pPr>
      <w:r>
        <w:rPr>
          <w:rFonts w:hint="eastAsia" w:ascii="宋体" w:hAnsi="宋体" w:cs="宋体"/>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7．操作人员上岗，必须按规定穿戴防护用品。施工负责人和安全检查员应随时检查劳动防护用品的穿戴情况，不按规定穿戴防护用品的人员不得上岗。</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8．所有施工机具设备和高空作业的设备均应定期检查，并有安全员的签字记录，保证其经常处于完好状态；不合格的机具、设备和劳动保护用品严禁使用。</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9．施工中采用新技术、新工艺、新设备、新材料时，必须制定相应的安全技术措施，施工现场必须具有相关的安全标志牌。</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widowControl/>
        <w:spacing w:line="400" w:lineRule="exact"/>
        <w:jc w:val="left"/>
        <w:rPr>
          <w:rFonts w:ascii="宋体" w:hAnsi="宋体" w:cs="宋体"/>
          <w:b/>
          <w:szCs w:val="21"/>
        </w:rPr>
      </w:pPr>
      <w:bookmarkStart w:id="730" w:name="_Toc364947222"/>
      <w:r>
        <w:rPr>
          <w:rFonts w:hint="eastAsia" w:ascii="宋体" w:hAnsi="宋体" w:cs="宋体"/>
          <w:b/>
          <w:szCs w:val="21"/>
        </w:rPr>
        <w:t>三、违约责任</w:t>
      </w:r>
      <w:bookmarkEnd w:id="730"/>
    </w:p>
    <w:p>
      <w:pPr>
        <w:widowControl/>
        <w:spacing w:line="400" w:lineRule="exact"/>
        <w:ind w:firstLine="420" w:firstLineChars="200"/>
        <w:jc w:val="left"/>
        <w:rPr>
          <w:rFonts w:ascii="宋体" w:hAnsi="宋体" w:cs="宋体"/>
          <w:szCs w:val="21"/>
        </w:rPr>
      </w:pPr>
      <w:r>
        <w:rPr>
          <w:rFonts w:hint="eastAsia" w:ascii="宋体" w:hAnsi="宋体" w:cs="宋体"/>
          <w:szCs w:val="21"/>
        </w:rPr>
        <w:t>如因发包人或承包人违约造成安全事故，将依法追究责任。</w:t>
      </w:r>
    </w:p>
    <w:p>
      <w:pPr>
        <w:widowControl/>
        <w:spacing w:line="400" w:lineRule="exact"/>
        <w:ind w:firstLine="480"/>
        <w:jc w:val="left"/>
        <w:rPr>
          <w:rFonts w:ascii="宋体" w:hAnsi="宋体" w:cs="宋体"/>
          <w:szCs w:val="21"/>
        </w:rPr>
      </w:pPr>
      <w:r>
        <w:rPr>
          <w:rFonts w:hint="eastAsia" w:ascii="宋体" w:hAnsi="宋体" w:cs="宋体"/>
          <w:szCs w:val="21"/>
        </w:rPr>
        <w:t>本合同正本一式二份，</w:t>
      </w:r>
      <w:r>
        <w:rPr>
          <w:rFonts w:hint="eastAsia" w:ascii="宋体" w:hAnsi="宋体"/>
        </w:rPr>
        <w:t>发包人承包人各执一份，具有同等效力</w:t>
      </w:r>
      <w:r>
        <w:rPr>
          <w:rFonts w:hint="eastAsia" w:ascii="宋体" w:hAnsi="宋体" w:cs="宋体"/>
          <w:szCs w:val="21"/>
        </w:rPr>
        <w:t>。由双方法定代表人或其授权的代理人签署与加盖公章后生效，全部工程竣工验收后失效。当正本与副本的内容不一致时，以正本为准。</w:t>
      </w:r>
    </w:p>
    <w:p>
      <w:pPr>
        <w:widowControl/>
        <w:spacing w:line="400" w:lineRule="exact"/>
        <w:jc w:val="left"/>
        <w:rPr>
          <w:rFonts w:ascii="宋体" w:hAnsi="宋体" w:cs="宋体"/>
          <w:szCs w:val="21"/>
        </w:rPr>
      </w:pPr>
      <w:r>
        <w:rPr>
          <w:rFonts w:hint="eastAsia" w:ascii="宋体" w:hAnsi="宋体" w:cs="宋体"/>
          <w:szCs w:val="21"/>
        </w:rPr>
        <w:t>发包人： （盖章）</w:t>
      </w:r>
      <w:r>
        <w:rPr>
          <w:rFonts w:ascii="宋体" w:hAnsi="宋体" w:cs="宋体"/>
          <w:szCs w:val="21"/>
        </w:rPr>
        <w:t xml:space="preserve">                 </w:t>
      </w:r>
      <w:r>
        <w:rPr>
          <w:rFonts w:hint="eastAsia" w:ascii="宋体" w:hAnsi="宋体" w:cs="宋体"/>
          <w:szCs w:val="21"/>
        </w:rPr>
        <w:t xml:space="preserve">           承包人：（全称）（盖章）</w:t>
      </w:r>
    </w:p>
    <w:p>
      <w:pPr>
        <w:widowControl/>
        <w:spacing w:line="400" w:lineRule="exact"/>
        <w:jc w:val="left"/>
        <w:rPr>
          <w:rFonts w:ascii="宋体" w:hAnsi="宋体" w:cs="宋体"/>
          <w:szCs w:val="21"/>
        </w:rPr>
      </w:pPr>
      <w:r>
        <w:rPr>
          <w:rFonts w:hint="eastAsia" w:ascii="宋体" w:hAnsi="宋体" w:cs="宋体"/>
          <w:szCs w:val="21"/>
        </w:rPr>
        <w:t>法定代表人：                                  法定代表人：</w:t>
      </w:r>
    </w:p>
    <w:p>
      <w:pPr>
        <w:widowControl/>
        <w:spacing w:line="400" w:lineRule="exact"/>
        <w:jc w:val="left"/>
        <w:rPr>
          <w:rFonts w:ascii="宋体" w:hAnsi="宋体" w:cs="宋体"/>
          <w:szCs w:val="21"/>
        </w:rPr>
      </w:pPr>
      <w:r>
        <w:rPr>
          <w:rFonts w:hint="eastAsia" w:ascii="宋体" w:hAnsi="宋体" w:cs="宋体"/>
          <w:szCs w:val="21"/>
        </w:rPr>
        <w:t>或其委托代理人： （职务）                      或其委托代理人： （职务）</w:t>
      </w:r>
    </w:p>
    <w:p>
      <w:pPr>
        <w:widowControl/>
        <w:spacing w:line="400" w:lineRule="exact"/>
        <w:jc w:val="left"/>
        <w:rPr>
          <w:rFonts w:ascii="宋体" w:hAnsi="宋体" w:cs="宋体"/>
          <w:szCs w:val="21"/>
        </w:rPr>
      </w:pPr>
    </w:p>
    <w:p>
      <w:pPr>
        <w:widowControl/>
        <w:spacing w:line="400" w:lineRule="exact"/>
        <w:jc w:val="left"/>
        <w:rPr>
          <w:rFonts w:ascii="宋体" w:hAnsi="宋体" w:cs="宋体"/>
          <w:szCs w:val="21"/>
        </w:rPr>
      </w:pPr>
      <w:r>
        <w:rPr>
          <w:rFonts w:hint="eastAsia" w:ascii="宋体" w:hAnsi="宋体" w:cs="宋体"/>
          <w:szCs w:val="21"/>
        </w:rPr>
        <w:t>（姓名）                                     （姓名）</w:t>
      </w:r>
    </w:p>
    <w:p>
      <w:pPr>
        <w:widowControl/>
        <w:spacing w:line="400" w:lineRule="exact"/>
        <w:jc w:val="left"/>
        <w:rPr>
          <w:rFonts w:ascii="宋体" w:hAnsi="宋体" w:cs="宋体"/>
          <w:szCs w:val="21"/>
        </w:rPr>
      </w:pPr>
      <w:r>
        <w:rPr>
          <w:rFonts w:hint="eastAsia" w:ascii="宋体" w:hAnsi="宋体" w:cs="宋体"/>
          <w:szCs w:val="21"/>
        </w:rPr>
        <w:t>（签字）                                     （签字）</w:t>
      </w:r>
    </w:p>
    <w:p>
      <w:pPr>
        <w:widowControl/>
        <w:tabs>
          <w:tab w:val="left" w:pos="4560"/>
        </w:tabs>
        <w:spacing w:line="400" w:lineRule="exact"/>
        <w:jc w:val="left"/>
        <w:rPr>
          <w:rFonts w:ascii="宋体" w:hAnsi="宋体" w:cs="宋体"/>
          <w:szCs w:val="21"/>
        </w:rPr>
      </w:pPr>
      <w:r>
        <w:rPr>
          <w:rFonts w:hint="eastAsia" w:ascii="宋体" w:hAnsi="宋体" w:cs="宋体"/>
          <w:szCs w:val="21"/>
        </w:rPr>
        <w:t>地址：                                        地址：</w:t>
      </w:r>
    </w:p>
    <w:p>
      <w:pPr>
        <w:widowControl/>
        <w:spacing w:line="400" w:lineRule="exact"/>
        <w:jc w:val="left"/>
        <w:rPr>
          <w:rFonts w:ascii="宋体" w:hAnsi="宋体" w:cs="宋体"/>
          <w:szCs w:val="21"/>
        </w:rPr>
      </w:pPr>
      <w:r>
        <w:rPr>
          <w:rFonts w:hint="eastAsia" w:ascii="宋体" w:hAnsi="宋体" w:cs="宋体"/>
          <w:szCs w:val="21"/>
        </w:rPr>
        <w:t>电话：                                        电话：</w:t>
      </w:r>
    </w:p>
    <w:p>
      <w:pPr>
        <w:widowControl/>
        <w:spacing w:line="400" w:lineRule="exact"/>
        <w:jc w:val="left"/>
        <w:rPr>
          <w:rFonts w:ascii="宋体" w:hAnsi="宋体"/>
        </w:rPr>
      </w:pPr>
      <w:r>
        <w:rPr>
          <w:rFonts w:hint="eastAsia" w:ascii="宋体" w:hAnsi="宋体"/>
        </w:rPr>
        <w:t>日期：                                        日期：</w:t>
      </w:r>
      <w:bookmarkStart w:id="731" w:name="_Toc27037"/>
    </w:p>
    <w:p>
      <w:pPr>
        <w:widowControl/>
        <w:spacing w:line="400" w:lineRule="exact"/>
        <w:jc w:val="left"/>
        <w:rPr>
          <w:rFonts w:ascii="宋体" w:hAnsi="宋体"/>
        </w:rPr>
      </w:pPr>
      <w:r>
        <w:rPr>
          <w:rFonts w:hint="eastAsia" w:ascii="宋体" w:hAnsi="宋体"/>
        </w:rPr>
        <w:t>发包人监督单位：（全称）（盖章）                  承包人监督单位：（全称）（盖章）</w:t>
      </w:r>
      <w:bookmarkEnd w:id="731"/>
    </w:p>
    <w:p>
      <w:pPr>
        <w:widowControl/>
        <w:spacing w:line="420" w:lineRule="exact"/>
        <w:jc w:val="left"/>
        <w:rPr>
          <w:rFonts w:ascii="宋体" w:hAnsi="宋体"/>
        </w:rPr>
      </w:pPr>
    </w:p>
    <w:p>
      <w:pPr>
        <w:widowControl/>
        <w:spacing w:line="420" w:lineRule="exact"/>
        <w:jc w:val="left"/>
        <w:rPr>
          <w:rFonts w:ascii="宋体" w:hAnsi="宋体"/>
        </w:rPr>
      </w:pPr>
    </w:p>
    <w:p>
      <w:pPr>
        <w:widowControl/>
        <w:spacing w:line="420" w:lineRule="exact"/>
        <w:jc w:val="left"/>
        <w:rPr>
          <w:rFonts w:ascii="宋体" w:hAnsi="宋体"/>
        </w:rPr>
      </w:pPr>
    </w:p>
    <w:p>
      <w:pPr>
        <w:widowControl/>
        <w:spacing w:line="420" w:lineRule="exact"/>
        <w:jc w:val="left"/>
        <w:rPr>
          <w:rFonts w:ascii="宋体" w:hAnsi="宋体"/>
        </w:rPr>
      </w:pPr>
    </w:p>
    <w:p>
      <w:pPr>
        <w:widowControl/>
        <w:spacing w:line="420" w:lineRule="exact"/>
        <w:jc w:val="left"/>
        <w:rPr>
          <w:rFonts w:ascii="宋体" w:hAnsi="宋体"/>
        </w:rPr>
      </w:pPr>
    </w:p>
    <w:p>
      <w:pPr>
        <w:widowControl/>
        <w:spacing w:line="288" w:lineRule="auto"/>
        <w:jc w:val="left"/>
        <w:rPr>
          <w:rFonts w:ascii="宋体" w:hAnsi="宋体"/>
          <w:szCs w:val="30"/>
        </w:rPr>
      </w:pPr>
      <w:r>
        <w:rPr>
          <w:rFonts w:hint="eastAsia" w:ascii="宋体" w:hAnsi="宋体"/>
          <w:szCs w:val="30"/>
        </w:rPr>
        <w:t>附件六</w:t>
      </w:r>
    </w:p>
    <w:p>
      <w:pPr>
        <w:widowControl/>
        <w:spacing w:line="360" w:lineRule="auto"/>
        <w:ind w:right="900"/>
        <w:jc w:val="center"/>
        <w:rPr>
          <w:rFonts w:ascii="宋体" w:hAnsi="宋体" w:cs="宋体"/>
          <w:b/>
          <w:sz w:val="28"/>
          <w:szCs w:val="28"/>
        </w:rPr>
      </w:pPr>
      <w:r>
        <w:rPr>
          <w:rFonts w:hint="eastAsia" w:ascii="宋体" w:hAnsi="宋体" w:cs="宋体"/>
          <w:b/>
          <w:sz w:val="28"/>
          <w:szCs w:val="28"/>
        </w:rPr>
        <w:t>项目部拟派人员汇总表</w:t>
      </w:r>
    </w:p>
    <w:tbl>
      <w:tblPr>
        <w:tblStyle w:val="49"/>
        <w:tblW w:w="10152" w:type="dxa"/>
        <w:jc w:val="center"/>
        <w:tblInd w:w="0" w:type="dxa"/>
        <w:tblLayout w:type="fixed"/>
        <w:tblCellMar>
          <w:top w:w="0" w:type="dxa"/>
          <w:left w:w="0" w:type="dxa"/>
          <w:bottom w:w="0" w:type="dxa"/>
          <w:right w:w="0" w:type="dxa"/>
        </w:tblCellMar>
      </w:tblPr>
      <w:tblGrid>
        <w:gridCol w:w="1260"/>
        <w:gridCol w:w="1080"/>
        <w:gridCol w:w="1260"/>
        <w:gridCol w:w="1260"/>
        <w:gridCol w:w="900"/>
        <w:gridCol w:w="1416"/>
        <w:gridCol w:w="1134"/>
        <w:gridCol w:w="850"/>
        <w:gridCol w:w="992"/>
      </w:tblGrid>
      <w:tr>
        <w:tblPrEx>
          <w:tblLayout w:type="fixed"/>
          <w:tblCellMar>
            <w:top w:w="0" w:type="dxa"/>
            <w:left w:w="0" w:type="dxa"/>
            <w:bottom w:w="0" w:type="dxa"/>
            <w:right w:w="0" w:type="dxa"/>
          </w:tblCellMar>
        </w:tblPrEx>
        <w:trPr>
          <w:trHeight w:val="450" w:hRule="atLeast"/>
          <w:jc w:val="center"/>
        </w:trPr>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职务</w:t>
            </w:r>
          </w:p>
        </w:tc>
        <w:tc>
          <w:tcPr>
            <w:tcW w:w="1080" w:type="dxa"/>
            <w:vMerge w:val="restart"/>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姓名</w:t>
            </w:r>
          </w:p>
        </w:tc>
        <w:tc>
          <w:tcPr>
            <w:tcW w:w="1260" w:type="dxa"/>
            <w:vMerge w:val="restart"/>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职称</w:t>
            </w:r>
          </w:p>
        </w:tc>
        <w:tc>
          <w:tcPr>
            <w:tcW w:w="5560" w:type="dxa"/>
            <w:gridSpan w:val="5"/>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执业或职业资格证明</w:t>
            </w:r>
          </w:p>
        </w:tc>
        <w:tc>
          <w:tcPr>
            <w:tcW w:w="992"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备注</w:t>
            </w:r>
          </w:p>
        </w:tc>
      </w:tr>
      <w:tr>
        <w:tblPrEx>
          <w:tblLayout w:type="fixed"/>
          <w:tblCellMar>
            <w:top w:w="0" w:type="dxa"/>
            <w:left w:w="0" w:type="dxa"/>
            <w:bottom w:w="0" w:type="dxa"/>
            <w:right w:w="0" w:type="dxa"/>
          </w:tblCellMar>
        </w:tblPrEx>
        <w:trPr>
          <w:trHeight w:val="957"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10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4"/>
              </w:rPr>
            </w:pPr>
          </w:p>
        </w:tc>
        <w:tc>
          <w:tcPr>
            <w:tcW w:w="12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4"/>
              </w:rPr>
            </w:pPr>
          </w:p>
        </w:tc>
        <w:tc>
          <w:tcPr>
            <w:tcW w:w="1260"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证书名称</w:t>
            </w:r>
          </w:p>
        </w:tc>
        <w:tc>
          <w:tcPr>
            <w:tcW w:w="900"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级别</w:t>
            </w:r>
          </w:p>
        </w:tc>
        <w:tc>
          <w:tcPr>
            <w:tcW w:w="1416"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证号</w:t>
            </w:r>
          </w:p>
        </w:tc>
        <w:tc>
          <w:tcPr>
            <w:tcW w:w="1134"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专业</w:t>
            </w:r>
          </w:p>
        </w:tc>
        <w:tc>
          <w:tcPr>
            <w:tcW w:w="850"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kern w:val="0"/>
                <w:sz w:val="24"/>
              </w:rPr>
            </w:pPr>
            <w:r>
              <w:rPr>
                <w:rFonts w:hint="eastAsia" w:ascii="宋体" w:hAnsi="宋体"/>
                <w:kern w:val="0"/>
                <w:szCs w:val="21"/>
              </w:rPr>
              <w:t>养老保险</w:t>
            </w:r>
          </w:p>
        </w:tc>
        <w:tc>
          <w:tcPr>
            <w:tcW w:w="992"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left"/>
              <w:rPr>
                <w:rFonts w:ascii="宋体" w:hAnsi="宋体"/>
                <w:kern w:val="0"/>
                <w:sz w:val="24"/>
              </w:rPr>
            </w:pPr>
          </w:p>
        </w:tc>
      </w:tr>
      <w:tr>
        <w:tblPrEx>
          <w:tblLayout w:type="fixed"/>
          <w:tblCellMar>
            <w:top w:w="0" w:type="dxa"/>
            <w:left w:w="0" w:type="dxa"/>
            <w:bottom w:w="0" w:type="dxa"/>
            <w:right w:w="0" w:type="dxa"/>
          </w:tblCellMar>
        </w:tblPrEx>
        <w:trPr>
          <w:trHeight w:val="505" w:hRule="atLeast"/>
          <w:jc w:val="center"/>
        </w:trPr>
        <w:tc>
          <w:tcPr>
            <w:tcW w:w="1260"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08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b/>
                <w:sz w:val="24"/>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b/>
                <w:bCs/>
                <w:caps/>
                <w:szCs w:val="21"/>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b/>
                <w:bCs/>
                <w:caps/>
                <w:szCs w:val="21"/>
              </w:rPr>
            </w:pPr>
          </w:p>
        </w:tc>
        <w:tc>
          <w:tcPr>
            <w:tcW w:w="90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b/>
                <w:bCs/>
                <w:caps/>
                <w:szCs w:val="21"/>
              </w:rPr>
            </w:pPr>
          </w:p>
        </w:tc>
        <w:tc>
          <w:tcPr>
            <w:tcW w:w="1416"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13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85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992"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Layout w:type="fixed"/>
          <w:tblCellMar>
            <w:top w:w="0" w:type="dxa"/>
            <w:left w:w="0" w:type="dxa"/>
            <w:bottom w:w="0" w:type="dxa"/>
            <w:right w:w="0" w:type="dxa"/>
          </w:tblCellMar>
        </w:tblPrEx>
        <w:trPr>
          <w:trHeight w:val="450" w:hRule="atLeast"/>
          <w:jc w:val="center"/>
        </w:trPr>
        <w:tc>
          <w:tcPr>
            <w:tcW w:w="1260" w:type="dxa"/>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szCs w:val="21"/>
              </w:rPr>
            </w:pPr>
          </w:p>
        </w:tc>
        <w:tc>
          <w:tcPr>
            <w:tcW w:w="108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416" w:type="dxa"/>
            <w:tcBorders>
              <w:top w:val="single" w:color="000000" w:sz="4" w:space="0"/>
              <w:left w:val="nil"/>
              <w:bottom w:val="single" w:color="000000" w:sz="4" w:space="0"/>
              <w:right w:val="single" w:color="000000" w:sz="4" w:space="0"/>
            </w:tcBorders>
          </w:tcPr>
          <w:p>
            <w:pPr>
              <w:widowControl/>
              <w:jc w:val="center"/>
              <w:rPr>
                <w:rFonts w:ascii="宋体" w:hAnsi="宋体"/>
                <w:szCs w:val="21"/>
              </w:rPr>
            </w:pPr>
          </w:p>
        </w:tc>
        <w:tc>
          <w:tcPr>
            <w:tcW w:w="1134" w:type="dxa"/>
            <w:tcBorders>
              <w:top w:val="single" w:color="000000" w:sz="4" w:space="0"/>
              <w:left w:val="nil"/>
              <w:bottom w:val="single" w:color="000000" w:sz="4" w:space="0"/>
              <w:right w:val="single" w:color="000000" w:sz="4" w:space="0"/>
            </w:tcBorders>
          </w:tcPr>
          <w:p>
            <w:pPr>
              <w:widowControl/>
              <w:jc w:val="center"/>
              <w:rPr>
                <w:rFonts w:ascii="宋体" w:hAnsi="宋体"/>
                <w:szCs w:val="21"/>
              </w:rPr>
            </w:pPr>
          </w:p>
        </w:tc>
        <w:tc>
          <w:tcPr>
            <w:tcW w:w="850" w:type="dxa"/>
            <w:tcBorders>
              <w:top w:val="single" w:color="000000" w:sz="4" w:space="0"/>
              <w:left w:val="nil"/>
              <w:bottom w:val="single" w:color="000000" w:sz="4" w:space="0"/>
              <w:right w:val="single" w:color="000000" w:sz="4" w:space="0"/>
            </w:tcBorders>
          </w:tcPr>
          <w:p>
            <w:pPr>
              <w:widowControl/>
              <w:jc w:val="center"/>
              <w:rPr>
                <w:rFonts w:ascii="宋体" w:hAnsi="宋体"/>
                <w:szCs w:val="21"/>
              </w:rPr>
            </w:pPr>
          </w:p>
        </w:tc>
        <w:tc>
          <w:tcPr>
            <w:tcW w:w="992"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Layout w:type="fixed"/>
          <w:tblCellMar>
            <w:top w:w="0" w:type="dxa"/>
            <w:left w:w="0" w:type="dxa"/>
            <w:bottom w:w="0" w:type="dxa"/>
            <w:right w:w="0" w:type="dxa"/>
          </w:tblCellMar>
        </w:tblPrEx>
        <w:trPr>
          <w:trHeight w:val="450" w:hRule="atLeast"/>
          <w:jc w:val="center"/>
        </w:trPr>
        <w:tc>
          <w:tcPr>
            <w:tcW w:w="1260"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90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416"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3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85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992"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Layout w:type="fixed"/>
          <w:tblCellMar>
            <w:top w:w="0" w:type="dxa"/>
            <w:left w:w="0" w:type="dxa"/>
            <w:bottom w:w="0" w:type="dxa"/>
            <w:right w:w="0" w:type="dxa"/>
          </w:tblCellMar>
        </w:tblPrEx>
        <w:trPr>
          <w:trHeight w:val="450" w:hRule="atLeast"/>
          <w:jc w:val="center"/>
        </w:trPr>
        <w:tc>
          <w:tcPr>
            <w:tcW w:w="1260"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90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416"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3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85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992"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Layout w:type="fixed"/>
          <w:tblCellMar>
            <w:top w:w="0" w:type="dxa"/>
            <w:left w:w="0" w:type="dxa"/>
            <w:bottom w:w="0" w:type="dxa"/>
            <w:right w:w="0" w:type="dxa"/>
          </w:tblCellMar>
        </w:tblPrEx>
        <w:trPr>
          <w:trHeight w:val="450" w:hRule="atLeast"/>
          <w:jc w:val="center"/>
        </w:trPr>
        <w:tc>
          <w:tcPr>
            <w:tcW w:w="1260"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90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416"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3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85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992"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Layout w:type="fixed"/>
          <w:tblCellMar>
            <w:top w:w="0" w:type="dxa"/>
            <w:left w:w="0" w:type="dxa"/>
            <w:bottom w:w="0" w:type="dxa"/>
            <w:right w:w="0" w:type="dxa"/>
          </w:tblCellMar>
        </w:tblPrEx>
        <w:trPr>
          <w:trHeight w:val="450" w:hRule="atLeast"/>
          <w:jc w:val="center"/>
        </w:trPr>
        <w:tc>
          <w:tcPr>
            <w:tcW w:w="1260"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90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416"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3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85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992"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Layout w:type="fixed"/>
          <w:tblCellMar>
            <w:top w:w="0" w:type="dxa"/>
            <w:left w:w="0" w:type="dxa"/>
            <w:bottom w:w="0" w:type="dxa"/>
            <w:right w:w="0" w:type="dxa"/>
          </w:tblCellMar>
        </w:tblPrEx>
        <w:trPr>
          <w:trHeight w:val="450" w:hRule="atLeast"/>
          <w:jc w:val="center"/>
        </w:trPr>
        <w:tc>
          <w:tcPr>
            <w:tcW w:w="1260"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90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416"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113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850"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szCs w:val="21"/>
              </w:rPr>
            </w:pPr>
          </w:p>
        </w:tc>
        <w:tc>
          <w:tcPr>
            <w:tcW w:w="992"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Layout w:type="fixed"/>
          <w:tblCellMar>
            <w:top w:w="0" w:type="dxa"/>
            <w:left w:w="0" w:type="dxa"/>
            <w:bottom w:w="0" w:type="dxa"/>
            <w:right w:w="0" w:type="dxa"/>
          </w:tblCellMar>
        </w:tblPrEx>
        <w:trPr>
          <w:trHeight w:val="450"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caps/>
                <w:szCs w:val="21"/>
              </w:rPr>
            </w:pPr>
          </w:p>
        </w:tc>
        <w:tc>
          <w:tcPr>
            <w:tcW w:w="108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2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90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41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szCs w:val="21"/>
              </w:rPr>
            </w:pPr>
          </w:p>
        </w:tc>
        <w:tc>
          <w:tcPr>
            <w:tcW w:w="992"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kern w:val="0"/>
                <w:sz w:val="24"/>
              </w:rPr>
            </w:pPr>
          </w:p>
        </w:tc>
      </w:tr>
      <w:tr>
        <w:tblPrEx>
          <w:tblLayout w:type="fixed"/>
          <w:tblCellMar>
            <w:top w:w="0" w:type="dxa"/>
            <w:left w:w="0" w:type="dxa"/>
            <w:bottom w:w="0" w:type="dxa"/>
            <w:right w:w="0" w:type="dxa"/>
          </w:tblCellMar>
        </w:tblPrEx>
        <w:trPr>
          <w:trHeight w:val="450"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Cs w:val="21"/>
              </w:rPr>
            </w:pPr>
          </w:p>
        </w:tc>
        <w:tc>
          <w:tcPr>
            <w:tcW w:w="108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90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41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134"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85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992"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left"/>
              <w:rPr>
                <w:rFonts w:ascii="宋体" w:hAnsi="宋体" w:cs="宋体"/>
                <w:kern w:val="0"/>
                <w:sz w:val="24"/>
              </w:rPr>
            </w:pPr>
          </w:p>
        </w:tc>
      </w:tr>
      <w:tr>
        <w:tblPrEx>
          <w:tblLayout w:type="fixed"/>
          <w:tblCellMar>
            <w:top w:w="0" w:type="dxa"/>
            <w:left w:w="0" w:type="dxa"/>
            <w:bottom w:w="0" w:type="dxa"/>
            <w:right w:w="0" w:type="dxa"/>
          </w:tblCellMar>
        </w:tblPrEx>
        <w:trPr>
          <w:trHeight w:val="450"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08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90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41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134"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85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992"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08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26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90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41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1134"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850"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sz w:val="24"/>
              </w:rPr>
            </w:pPr>
          </w:p>
        </w:tc>
        <w:tc>
          <w:tcPr>
            <w:tcW w:w="992"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left"/>
              <w:rPr>
                <w:rFonts w:ascii="宋体" w:hAnsi="宋体"/>
                <w:kern w:val="0"/>
                <w:sz w:val="24"/>
              </w:rPr>
            </w:pPr>
          </w:p>
        </w:tc>
      </w:tr>
    </w:tbl>
    <w:p>
      <w:pPr>
        <w:widowControl/>
        <w:spacing w:line="420" w:lineRule="exact"/>
        <w:jc w:val="left"/>
        <w:rPr>
          <w:rFonts w:ascii="宋体" w:hAnsi="宋体"/>
        </w:rPr>
      </w:pPr>
    </w:p>
    <w:p>
      <w:pPr>
        <w:widowControl/>
        <w:spacing w:line="288" w:lineRule="auto"/>
        <w:jc w:val="left"/>
        <w:rPr>
          <w:rFonts w:ascii="宋体" w:hAnsi="宋体"/>
          <w:szCs w:val="30"/>
        </w:rPr>
      </w:pPr>
      <w:r>
        <w:rPr>
          <w:rFonts w:ascii="宋体" w:hAnsi="宋体"/>
          <w:szCs w:val="30"/>
        </w:rPr>
        <w:br w:type="page"/>
      </w:r>
      <w:r>
        <w:rPr>
          <w:rFonts w:hint="eastAsia" w:ascii="宋体" w:hAnsi="宋体"/>
          <w:szCs w:val="30"/>
        </w:rPr>
        <w:t>附件七</w:t>
      </w:r>
    </w:p>
    <w:p>
      <w:pPr>
        <w:widowControl/>
        <w:spacing w:line="400" w:lineRule="exact"/>
        <w:ind w:right="900"/>
        <w:jc w:val="center"/>
        <w:rPr>
          <w:rFonts w:ascii="宋体" w:hAnsi="宋体"/>
          <w:b/>
          <w:sz w:val="28"/>
          <w:szCs w:val="28"/>
        </w:rPr>
      </w:pPr>
      <w:r>
        <w:rPr>
          <w:rFonts w:hint="eastAsia" w:ascii="宋体" w:hAnsi="宋体"/>
          <w:b/>
          <w:sz w:val="28"/>
          <w:szCs w:val="28"/>
        </w:rPr>
        <w:t>防范建设项目转包和违法分包管理责任书</w:t>
      </w:r>
    </w:p>
    <w:p>
      <w:pPr>
        <w:widowControl/>
        <w:shd w:val="clear" w:color="auto" w:fill="FFFFFF"/>
        <w:spacing w:line="390" w:lineRule="exact"/>
        <w:ind w:firstLine="420" w:firstLineChars="200"/>
        <w:jc w:val="left"/>
        <w:rPr>
          <w:rFonts w:ascii="宋体" w:hAnsi="宋体"/>
          <w:szCs w:val="21"/>
        </w:rPr>
      </w:pPr>
      <w:r>
        <w:rPr>
          <w:rFonts w:hint="eastAsia" w:ascii="宋体" w:hAnsi="宋体"/>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竞标人、中标后为中标人、签订合同后为承包单位，以下同）签订本责任书。</w:t>
      </w:r>
    </w:p>
    <w:p>
      <w:pPr>
        <w:widowControl/>
        <w:shd w:val="clear" w:color="auto" w:fill="FFFFFF"/>
        <w:spacing w:line="390" w:lineRule="exact"/>
        <w:ind w:firstLine="420" w:firstLineChars="200"/>
        <w:jc w:val="left"/>
        <w:rPr>
          <w:rFonts w:ascii="宋体" w:hAnsi="宋体"/>
          <w:szCs w:val="21"/>
        </w:rPr>
      </w:pPr>
      <w:r>
        <w:rPr>
          <w:rFonts w:hint="eastAsia" w:ascii="宋体" w:hAnsi="宋体"/>
          <w:szCs w:val="21"/>
        </w:rPr>
        <w:t>一、承包单位管理责任和应尽的义务。</w:t>
      </w:r>
    </w:p>
    <w:p>
      <w:pPr>
        <w:widowControl/>
        <w:shd w:val="clear" w:color="auto" w:fill="FFFFFF"/>
        <w:tabs>
          <w:tab w:val="left" w:pos="720"/>
        </w:tabs>
        <w:spacing w:line="390" w:lineRule="exact"/>
        <w:ind w:firstLine="420" w:firstLineChars="200"/>
        <w:jc w:val="left"/>
        <w:rPr>
          <w:rFonts w:ascii="宋体" w:hAnsi="宋体"/>
          <w:szCs w:val="21"/>
        </w:rPr>
      </w:pPr>
      <w:r>
        <w:rPr>
          <w:rFonts w:hint="eastAsia" w:ascii="宋体" w:hAnsi="宋体"/>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pPr>
        <w:widowControl/>
        <w:shd w:val="clear" w:color="auto" w:fill="FFFFFF"/>
        <w:spacing w:line="390" w:lineRule="exact"/>
        <w:ind w:firstLine="411" w:firstLineChars="196"/>
        <w:jc w:val="left"/>
        <w:rPr>
          <w:rFonts w:ascii="宋体" w:hAnsi="宋体"/>
          <w:szCs w:val="21"/>
        </w:rPr>
      </w:pPr>
      <w:r>
        <w:rPr>
          <w:rFonts w:hint="eastAsia" w:ascii="宋体" w:hAnsi="宋体"/>
          <w:szCs w:val="21"/>
        </w:rPr>
        <w:t>（二）招投标及合同签订管理</w:t>
      </w:r>
    </w:p>
    <w:p>
      <w:pPr>
        <w:widowControl/>
        <w:shd w:val="clear" w:color="auto" w:fill="FFFFFF"/>
        <w:spacing w:line="390" w:lineRule="exact"/>
        <w:ind w:firstLine="411" w:firstLineChars="196"/>
        <w:jc w:val="left"/>
        <w:rPr>
          <w:rFonts w:ascii="宋体" w:hAnsi="宋体"/>
          <w:szCs w:val="21"/>
        </w:rPr>
      </w:pPr>
      <w:r>
        <w:rPr>
          <w:rFonts w:hint="eastAsia" w:ascii="宋体" w:hAnsi="宋体"/>
          <w:szCs w:val="21"/>
        </w:rPr>
        <w:t>在招投标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pPr>
        <w:widowControl/>
        <w:shd w:val="clear" w:color="auto" w:fill="FFFFFF"/>
        <w:spacing w:line="390" w:lineRule="exact"/>
        <w:ind w:firstLine="420" w:firstLineChars="200"/>
        <w:jc w:val="left"/>
        <w:rPr>
          <w:rFonts w:ascii="宋体" w:hAnsi="宋体"/>
          <w:szCs w:val="21"/>
        </w:rPr>
      </w:pPr>
      <w:r>
        <w:rPr>
          <w:rFonts w:hint="eastAsia" w:ascii="宋体" w:hAnsi="宋体"/>
          <w:szCs w:val="21"/>
        </w:rPr>
        <w:t>（三）履约管理</w:t>
      </w:r>
    </w:p>
    <w:p>
      <w:pPr>
        <w:widowControl/>
        <w:shd w:val="clear" w:color="auto" w:fill="FFFFFF"/>
        <w:spacing w:line="390" w:lineRule="exact"/>
        <w:ind w:firstLine="420" w:firstLineChars="200"/>
        <w:jc w:val="left"/>
        <w:rPr>
          <w:rFonts w:ascii="宋体" w:hAnsi="宋体"/>
          <w:szCs w:val="21"/>
        </w:rPr>
      </w:pPr>
      <w:r>
        <w:rPr>
          <w:rFonts w:ascii="宋体" w:hAnsi="宋体"/>
          <w:szCs w:val="21"/>
        </w:rPr>
        <w:t>1</w:t>
      </w:r>
      <w:r>
        <w:rPr>
          <w:rFonts w:hint="eastAsia" w:ascii="宋体" w:hAnsi="宋体"/>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pPr>
        <w:widowControl/>
        <w:shd w:val="clear" w:color="auto" w:fill="FFFFFF"/>
        <w:spacing w:line="390" w:lineRule="exact"/>
        <w:ind w:firstLine="420" w:firstLineChars="200"/>
        <w:jc w:val="left"/>
        <w:rPr>
          <w:rFonts w:ascii="宋体" w:hAnsi="宋体"/>
          <w:szCs w:val="21"/>
        </w:rPr>
      </w:pPr>
      <w:r>
        <w:rPr>
          <w:rFonts w:hint="eastAsia" w:ascii="宋体" w:hAnsi="宋体"/>
          <w:szCs w:val="21"/>
        </w:rPr>
        <w:t>承包单位项目部的组成人员存在以下情形，经公司批准后，可用投标文件或合同文件中载明的备选人员进行更换，否则承包单位将不准更换项目部的组成人员：</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）拟派人员重伤、死亡；</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）拟派人员因涉嫌犯罪或诉讼而被有关执法机关限制人身自由；</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）拟派人员因突发性重大事件（如地震等自然灾害、非典等疫情、骚乱等社会非正常事件）不能到位；</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）拟派人员执业资格因各种原因不再满足比选文件规定的最低资格要求。</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公司对承包单位项目部的组成人员不满意，要求承包单位更换的不受上述限制。</w:t>
      </w:r>
    </w:p>
    <w:p>
      <w:pPr>
        <w:widowControl/>
        <w:shd w:val="clear" w:color="auto" w:fill="FFFFFF"/>
        <w:spacing w:line="390" w:lineRule="exact"/>
        <w:ind w:firstLine="420" w:firstLineChars="200"/>
        <w:jc w:val="left"/>
        <w:rPr>
          <w:rFonts w:ascii="宋体" w:hAnsi="宋体"/>
          <w:szCs w:val="21"/>
        </w:rPr>
      </w:pPr>
      <w:r>
        <w:rPr>
          <w:rFonts w:ascii="宋体" w:hAnsi="宋体"/>
          <w:szCs w:val="21"/>
        </w:rPr>
        <w:t>2</w:t>
      </w:r>
      <w:r>
        <w:rPr>
          <w:rFonts w:hint="eastAsia" w:ascii="宋体" w:hAnsi="宋体"/>
          <w:szCs w:val="21"/>
        </w:rPr>
        <w:t>、承包单位必须严格执行项目部项目经理负责制，履行如下条款并报公司备案：</w:t>
      </w:r>
    </w:p>
    <w:p>
      <w:pPr>
        <w:widowControl/>
        <w:shd w:val="clear" w:color="auto" w:fill="FFFFFF"/>
        <w:spacing w:line="390" w:lineRule="exact"/>
        <w:ind w:firstLine="310" w:firstLineChars="148"/>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）承包单位对项目部人员的考勤记录，合同文件中的项目人员是否确实在岗；</w:t>
      </w:r>
    </w:p>
    <w:p>
      <w:pPr>
        <w:widowControl/>
        <w:shd w:val="clear" w:color="auto" w:fill="FFFFFF"/>
        <w:spacing w:line="390" w:lineRule="exact"/>
        <w:ind w:firstLine="310" w:firstLineChars="148"/>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）施工所需机械设备是否确实属承包单位（或合法的分包单位，下同）自有或由其租用；</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）承包单位实际使用的账户是否确属承包单位，资金流动是否在承包单位的账户外流动，农民工是否由承包单位直接管理，是否存在拖欠民工工资、劳务纠纷问题等。</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）对于分包项目，要进行严格监管（是否存在质量、安全隐患，分包合同执行是否严格规范）。</w:t>
      </w:r>
    </w:p>
    <w:p>
      <w:pPr>
        <w:widowControl/>
        <w:shd w:val="clear" w:color="auto" w:fill="FFFFFF"/>
        <w:spacing w:line="390" w:lineRule="exact"/>
        <w:ind w:firstLine="415" w:firstLineChars="198"/>
        <w:jc w:val="left"/>
        <w:rPr>
          <w:rFonts w:ascii="宋体" w:hAnsi="宋体"/>
          <w:szCs w:val="21"/>
        </w:rPr>
      </w:pPr>
      <w:r>
        <w:rPr>
          <w:rFonts w:ascii="宋体" w:hAnsi="宋体"/>
          <w:szCs w:val="21"/>
        </w:rPr>
        <w:t>4</w:t>
      </w:r>
      <w:r>
        <w:rPr>
          <w:rFonts w:hint="eastAsia" w:ascii="宋体" w:hAnsi="宋体"/>
          <w:szCs w:val="21"/>
        </w:rPr>
        <w:t>、公司严格按照合同约定支付工程款，一律不接受承包单位工程款的委托支付。</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二、分包与违法分包</w:t>
      </w:r>
    </w:p>
    <w:p>
      <w:pPr>
        <w:widowControl/>
        <w:shd w:val="clear" w:color="auto" w:fill="FFFFFF"/>
        <w:spacing w:line="390" w:lineRule="exact"/>
        <w:ind w:firstLine="411" w:firstLineChars="196"/>
        <w:jc w:val="left"/>
        <w:rPr>
          <w:rFonts w:ascii="宋体" w:hAnsi="宋体"/>
          <w:szCs w:val="21"/>
        </w:rPr>
      </w:pPr>
      <w:r>
        <w:rPr>
          <w:rFonts w:ascii="宋体" w:hAnsi="宋体"/>
          <w:szCs w:val="21"/>
        </w:rPr>
        <w:t>1</w:t>
      </w:r>
      <w:r>
        <w:rPr>
          <w:rFonts w:hint="eastAsia" w:ascii="宋体" w:hAnsi="宋体"/>
          <w:szCs w:val="21"/>
        </w:rPr>
        <w:t>、分包的程序和条件</w:t>
      </w:r>
    </w:p>
    <w:p>
      <w:pPr>
        <w:widowControl/>
        <w:shd w:val="clear" w:color="auto" w:fill="FFFFFF"/>
        <w:spacing w:line="390" w:lineRule="exact"/>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文件以及合同中载明可以分包的工程或者经公司批准，承包单位可以将所承包的工程进行分包。分包的工程仅限于特殊性技术、特殊工艺或者涉及专利保护等要求的专项工程且只能分包给具有相应资格的单位。</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）公司拟进行分包的，应在投标文件中对拟分包的专项工程及规模予以明确，承包单位按比选文件的规定提供分包人的相关资质、人员、业绩证明材料。</w:t>
      </w:r>
    </w:p>
    <w:p>
      <w:pPr>
        <w:widowControl/>
        <w:shd w:val="clear" w:color="auto" w:fill="FFFFFF"/>
        <w:spacing w:line="390" w:lineRule="exact"/>
        <w:ind w:firstLine="310" w:firstLineChars="148"/>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）对分包人的资格审查、签约和履约管理同本责任书中承包单位的内容。</w:t>
      </w:r>
    </w:p>
    <w:p>
      <w:pPr>
        <w:widowControl/>
        <w:shd w:val="clear" w:color="auto" w:fill="FFFFFF"/>
        <w:spacing w:line="390" w:lineRule="exact"/>
        <w:ind w:firstLine="308" w:firstLineChars="147"/>
        <w:jc w:val="left"/>
        <w:rPr>
          <w:rFonts w:ascii="宋体" w:hAnsi="宋体"/>
          <w:szCs w:val="21"/>
        </w:rPr>
      </w:pPr>
      <w:r>
        <w:rPr>
          <w:rFonts w:ascii="宋体" w:hAnsi="宋体"/>
          <w:szCs w:val="21"/>
        </w:rPr>
        <w:t>2</w:t>
      </w:r>
      <w:r>
        <w:rPr>
          <w:rFonts w:hint="eastAsia" w:ascii="宋体" w:hAnsi="宋体"/>
          <w:szCs w:val="21"/>
        </w:rPr>
        <w:t>、违法分包的情形及表现</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投标文件以及合同中未载明分包的工程或者未经公司批准，承包单位不得将所承包的工程进行分包。承包单位出现下列行为之一的，视为违法分包：</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）承包单位未在施工现场设立项目管理机构和派驻相应人员对分包工程的施工活动实施有效管理；</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）承包单位项目部的组成人员不符合合同和招投标文件的规定的；</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）承包单位未按本责任书以及合同约定将工程分包给不具备相应资格条件的单位或个人的；</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）对合同文件中明确不得分包的专项工程进行分包；</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）合同文件中虽允许分包，但分包未经公司认可；</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）分包人以他人名义承揽分包工程；</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）分包单位将其分包的建设工程再次分包的；</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）承包人未与分包人依法签订分包合同或者分包合同未遵循承包合同的各项原则，不满足承包合同中相应要求；</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）由其他单位或个人违规指定进行的分包；</w:t>
      </w:r>
    </w:p>
    <w:p>
      <w:pPr>
        <w:widowControl/>
        <w:shd w:val="clear" w:color="auto" w:fill="FFFFFF"/>
        <w:spacing w:line="390" w:lineRule="exact"/>
        <w:ind w:firstLine="308" w:firstLineChars="147"/>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）以劳务合作为名行分包之实的行为。</w:t>
      </w:r>
    </w:p>
    <w:p>
      <w:pPr>
        <w:widowControl/>
        <w:shd w:val="clear" w:color="auto" w:fill="FFFFFF"/>
        <w:spacing w:line="390" w:lineRule="exact"/>
        <w:ind w:firstLine="516" w:firstLineChars="246"/>
        <w:jc w:val="left"/>
        <w:rPr>
          <w:rFonts w:ascii="宋体" w:hAnsi="宋体"/>
          <w:szCs w:val="21"/>
        </w:rPr>
      </w:pPr>
      <w:r>
        <w:rPr>
          <w:rFonts w:hint="eastAsia" w:ascii="宋体" w:hAnsi="宋体"/>
          <w:szCs w:val="21"/>
        </w:rPr>
        <w:t>三、转包</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承包单位承包建设工程后，出现下列行为之一的视为转包：</w:t>
      </w:r>
    </w:p>
    <w:p>
      <w:pPr>
        <w:widowControl/>
        <w:shd w:val="clear" w:color="auto" w:fill="FFFFFF"/>
        <w:spacing w:line="390" w:lineRule="exact"/>
        <w:ind w:firstLine="315" w:firstLineChars="15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）不履行合同约定的责任和义务，将中标项目全部工程转给他人；</w:t>
      </w:r>
    </w:p>
    <w:p>
      <w:pPr>
        <w:widowControl/>
        <w:shd w:val="clear" w:color="auto" w:fill="FFFFFF"/>
        <w:spacing w:line="390" w:lineRule="exact"/>
        <w:ind w:left="147" w:leftChars="70" w:firstLine="105" w:firstLineChars="5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）不履行合同约定的责任和义务，将中标项目全部工程肢解后以分包的名义分别转给他人；</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）项目经理执业资格证书、“三类人员”安全生产考核合格证书的持证单位必须是承包单位，正在办理变更的必须提供发证机关出具的证明文件，否则，应视为转包。该规定对分包人同样适用。</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）非合法分包情况下，承包单位与实际进场施工单位之间无统一的财务管理，主要材料采购不由承包单位主导，人员工资发放不由承包单位经办；</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）非合法分包情况下，承包单位与实际进场单位之间无产权关系，现场施工机具不是承包单位自有或由其租赁。</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（三）下列行为属挂靠行为：</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）通过出租、出借资质证书或者收取管理费等方式允许他人以本单位名义承接工程；</w:t>
      </w:r>
    </w:p>
    <w:p>
      <w:pPr>
        <w:widowControl/>
        <w:shd w:val="clear" w:color="auto" w:fill="FFFFFF"/>
        <w:spacing w:line="390" w:lineRule="exact"/>
        <w:ind w:left="147" w:leftChars="70" w:firstLine="409" w:firstLineChars="195"/>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）无资质证书的单位、低资质等级的单位或个人通过各种途径或方式，利用有资质证书或高资质等级单位的名义承接工程。</w:t>
      </w:r>
    </w:p>
    <w:p>
      <w:pPr>
        <w:widowControl/>
        <w:shd w:val="clear" w:color="auto" w:fill="FFFFFF"/>
        <w:spacing w:line="390" w:lineRule="exact"/>
        <w:ind w:firstLine="525" w:firstLineChars="250"/>
        <w:jc w:val="left"/>
        <w:rPr>
          <w:rFonts w:ascii="宋体" w:hAnsi="宋体"/>
          <w:szCs w:val="21"/>
        </w:rPr>
      </w:pPr>
      <w:r>
        <w:rPr>
          <w:rFonts w:hint="eastAsia" w:ascii="宋体" w:hAnsi="宋体"/>
          <w:szCs w:val="21"/>
        </w:rPr>
        <w:t>四、严肃查处转包和违法分包行为</w:t>
      </w:r>
    </w:p>
    <w:p>
      <w:pPr>
        <w:widowControl/>
        <w:shd w:val="clear" w:color="auto" w:fill="FFFFFF"/>
        <w:spacing w:line="390" w:lineRule="exact"/>
        <w:ind w:firstLine="420" w:firstLineChars="200"/>
        <w:jc w:val="left"/>
        <w:rPr>
          <w:rFonts w:ascii="宋体" w:hAnsi="宋体"/>
          <w:szCs w:val="21"/>
        </w:rPr>
      </w:pPr>
      <w:r>
        <w:rPr>
          <w:rFonts w:hint="eastAsia" w:ascii="宋体" w:hAnsi="宋体"/>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pPr>
        <w:widowControl/>
        <w:shd w:val="clear" w:color="auto" w:fill="FFFFFF"/>
        <w:spacing w:line="390" w:lineRule="exact"/>
        <w:ind w:firstLine="415" w:firstLineChars="198"/>
        <w:jc w:val="left"/>
        <w:rPr>
          <w:rFonts w:ascii="宋体" w:hAnsi="宋体"/>
          <w:szCs w:val="21"/>
        </w:rPr>
      </w:pPr>
      <w:r>
        <w:rPr>
          <w:rFonts w:hint="eastAsia" w:ascii="宋体" w:hAnsi="宋体"/>
          <w:szCs w:val="21"/>
        </w:rPr>
        <w:t>（二）经核实，承包单位主体资格文件，拟派项目部组成人员与承包单位没有劳动关系或者资质、资格不符合本责任书和合同约定的，取消承包单位的签约资格。</w:t>
      </w:r>
    </w:p>
    <w:p>
      <w:pPr>
        <w:widowControl/>
        <w:shd w:val="clear" w:color="auto" w:fill="FFFFFF"/>
        <w:spacing w:line="390" w:lineRule="exact"/>
        <w:ind w:firstLine="417" w:firstLineChars="199"/>
        <w:jc w:val="left"/>
        <w:rPr>
          <w:rFonts w:ascii="宋体" w:hAnsi="宋体"/>
          <w:szCs w:val="21"/>
        </w:rPr>
      </w:pPr>
      <w:r>
        <w:rPr>
          <w:rFonts w:hint="eastAsia" w:ascii="宋体" w:hAnsi="宋体"/>
          <w:szCs w:val="21"/>
        </w:rPr>
        <w:t>（三）对检查发现的转包、违法分包、挂靠行为，除合同约定处罚外，要对转包、违法分包和挂靠单位进行清退，并责令承包单位进行改正，拒不改正或整改不到位的，公司有权解除合同重新发包。</w:t>
      </w:r>
    </w:p>
    <w:p>
      <w:pPr>
        <w:widowControl/>
        <w:adjustRightInd w:val="0"/>
        <w:snapToGrid w:val="0"/>
        <w:spacing w:line="390" w:lineRule="exact"/>
        <w:ind w:firstLine="420" w:firstLineChars="200"/>
        <w:jc w:val="left"/>
        <w:rPr>
          <w:rFonts w:ascii="宋体" w:hAnsi="宋体"/>
          <w:szCs w:val="21"/>
        </w:rPr>
      </w:pPr>
      <w:r>
        <w:rPr>
          <w:rFonts w:hint="eastAsia" w:ascii="宋体" w:hAnsi="宋体"/>
          <w:szCs w:val="21"/>
        </w:rPr>
        <w:t>（四）对于非合同约定或施工许可证上载明的项目经理及其他项目部组成人员签字的计量以及支付资料，公司有权拒签（收）。</w:t>
      </w:r>
    </w:p>
    <w:p>
      <w:pPr>
        <w:widowControl/>
        <w:shd w:val="clear" w:color="auto" w:fill="FFFFFF"/>
        <w:spacing w:line="390" w:lineRule="exact"/>
        <w:ind w:firstLine="420" w:firstLineChars="200"/>
        <w:jc w:val="left"/>
        <w:rPr>
          <w:rFonts w:ascii="宋体" w:hAnsi="宋体"/>
          <w:szCs w:val="21"/>
        </w:rPr>
      </w:pPr>
      <w:r>
        <w:rPr>
          <w:rFonts w:hint="eastAsia" w:ascii="宋体" w:hAnsi="宋体"/>
          <w:szCs w:val="21"/>
        </w:rPr>
        <w:t>本责任书自签订之日起生效。</w:t>
      </w:r>
    </w:p>
    <w:p>
      <w:pPr>
        <w:widowControl/>
        <w:shd w:val="clear" w:color="auto" w:fill="FFFFFF"/>
        <w:spacing w:line="390" w:lineRule="exact"/>
        <w:jc w:val="left"/>
        <w:rPr>
          <w:rFonts w:ascii="宋体" w:hAnsi="宋体"/>
          <w:szCs w:val="21"/>
        </w:rPr>
      </w:pPr>
    </w:p>
    <w:p>
      <w:pPr>
        <w:widowControl/>
        <w:shd w:val="clear" w:color="auto" w:fill="FFFFFF"/>
        <w:spacing w:line="390" w:lineRule="exact"/>
        <w:jc w:val="left"/>
        <w:rPr>
          <w:rFonts w:ascii="宋体" w:hAnsi="宋体"/>
          <w:szCs w:val="21"/>
        </w:rPr>
      </w:pPr>
      <w:r>
        <w:rPr>
          <w:rFonts w:hint="eastAsia" w:ascii="宋体" w:hAnsi="宋体"/>
          <w:szCs w:val="21"/>
        </w:rPr>
        <w:t>发包人：</w:t>
      </w:r>
      <w:r>
        <w:rPr>
          <w:rFonts w:hint="eastAsia" w:ascii="宋体" w:hAnsi="宋体"/>
          <w:szCs w:val="21"/>
          <w:u w:val="single"/>
        </w:rPr>
        <w:t>重庆两江新区水土高新技术产业园建设投资有限公司</w:t>
      </w:r>
    </w:p>
    <w:p>
      <w:pPr>
        <w:widowControl/>
        <w:shd w:val="clear" w:color="auto" w:fill="FFFFFF"/>
        <w:spacing w:line="390" w:lineRule="exact"/>
        <w:jc w:val="left"/>
        <w:rPr>
          <w:rFonts w:ascii="宋体" w:hAnsi="宋体"/>
          <w:szCs w:val="21"/>
        </w:rPr>
      </w:pPr>
    </w:p>
    <w:p>
      <w:pPr>
        <w:widowControl/>
        <w:spacing w:line="390" w:lineRule="exact"/>
        <w:jc w:val="left"/>
        <w:rPr>
          <w:rFonts w:ascii="宋体" w:hAnsi="宋体"/>
          <w:szCs w:val="21"/>
          <w:u w:val="single"/>
        </w:rPr>
      </w:pPr>
      <w:r>
        <w:rPr>
          <w:rFonts w:hint="eastAsia" w:ascii="宋体" w:hAnsi="宋体"/>
          <w:szCs w:val="21"/>
        </w:rPr>
        <w:t>承包人：</w:t>
      </w:r>
      <w:r>
        <w:rPr>
          <w:rFonts w:ascii="宋体" w:hAnsi="宋体"/>
          <w:szCs w:val="21"/>
          <w:u w:val="single"/>
        </w:rPr>
        <w:t xml:space="preserve">                                              </w:t>
      </w:r>
    </w:p>
    <w:p>
      <w:pPr>
        <w:widowControl/>
        <w:spacing w:line="400" w:lineRule="exact"/>
        <w:jc w:val="left"/>
        <w:rPr>
          <w:rFonts w:ascii="宋体" w:hAnsi="宋体"/>
          <w:szCs w:val="21"/>
        </w:rPr>
      </w:pPr>
      <w:r>
        <w:rPr>
          <w:rFonts w:ascii="宋体" w:hAnsi="宋体"/>
          <w:szCs w:val="21"/>
          <w:u w:val="single"/>
        </w:rPr>
        <w:br w:type="page"/>
      </w:r>
      <w:r>
        <w:rPr>
          <w:rFonts w:hint="eastAsia" w:ascii="宋体" w:hAnsi="宋体"/>
          <w:szCs w:val="21"/>
        </w:rPr>
        <w:t>附件八</w:t>
      </w:r>
    </w:p>
    <w:p>
      <w:pPr>
        <w:widowControl/>
        <w:spacing w:line="360" w:lineRule="auto"/>
        <w:jc w:val="center"/>
        <w:rPr>
          <w:rFonts w:ascii="宋体" w:hAnsi="宋体"/>
          <w:szCs w:val="21"/>
        </w:rPr>
      </w:pPr>
      <w:r>
        <w:rPr>
          <w:rFonts w:hint="eastAsia" w:ascii="宋体" w:hAnsi="宋体"/>
          <w:b/>
          <w:sz w:val="32"/>
          <w:szCs w:val="32"/>
        </w:rPr>
        <w:t>已标价的工程量清单（另行成册）</w:t>
      </w:r>
    </w:p>
    <w:p>
      <w:pPr>
        <w:widowControl/>
        <w:spacing w:line="288" w:lineRule="auto"/>
        <w:jc w:val="left"/>
        <w:rPr>
          <w:rFonts w:ascii="宋体" w:hAnsi="宋体"/>
          <w:szCs w:val="30"/>
        </w:rPr>
      </w:pPr>
    </w:p>
    <w:p>
      <w:pPr>
        <w:widowControl/>
        <w:spacing w:line="288" w:lineRule="auto"/>
        <w:jc w:val="left"/>
        <w:rPr>
          <w:rFonts w:ascii="宋体" w:hAnsi="宋体"/>
          <w:sz w:val="30"/>
          <w:szCs w:val="30"/>
          <w:u w:val="single"/>
        </w:rPr>
      </w:pPr>
    </w:p>
    <w:p>
      <w:pPr>
        <w:widowControl/>
        <w:jc w:val="left"/>
        <w:rPr>
          <w:rFonts w:ascii="宋体" w:hAnsi="宋体"/>
        </w:rPr>
      </w:pPr>
      <w:r>
        <w:rPr>
          <w:rFonts w:ascii="宋体" w:hAnsi="宋体"/>
        </w:rPr>
        <w:br w:type="page"/>
      </w:r>
      <w:r>
        <w:rPr>
          <w:rFonts w:hint="eastAsia" w:ascii="宋体" w:hAnsi="宋体"/>
        </w:rPr>
        <w:t>附件九</w:t>
      </w:r>
    </w:p>
    <w:p>
      <w:pPr>
        <w:keepNext/>
        <w:keepLines/>
        <w:widowControl/>
        <w:spacing w:before="100" w:beforeAutospacing="1" w:after="100" w:afterAutospacing="1" w:line="240" w:lineRule="exact"/>
        <w:jc w:val="center"/>
        <w:rPr>
          <w:rFonts w:ascii="宋体" w:hAnsi="宋体"/>
          <w:b/>
          <w:sz w:val="32"/>
          <w:szCs w:val="32"/>
        </w:rPr>
      </w:pPr>
      <w:r>
        <w:rPr>
          <w:rFonts w:hint="eastAsia" w:ascii="宋体" w:hAnsi="宋体"/>
          <w:b/>
          <w:sz w:val="32"/>
          <w:szCs w:val="32"/>
        </w:rPr>
        <w:t>其他合同文件</w:t>
      </w:r>
    </w:p>
    <w:p>
      <w:pPr>
        <w:keepNext/>
        <w:keepLines/>
        <w:widowControl/>
        <w:spacing w:before="100" w:beforeAutospacing="1" w:after="100" w:afterAutospacing="1" w:line="240" w:lineRule="exact"/>
        <w:jc w:val="left"/>
        <w:rPr>
          <w:rFonts w:ascii="宋体" w:hAnsi="宋体" w:cs="MingLiU"/>
          <w:szCs w:val="21"/>
        </w:rPr>
      </w:pPr>
      <w:r>
        <w:rPr>
          <w:rFonts w:hint="eastAsia" w:ascii="宋体" w:hAnsi="宋体" w:cs="MingLiU"/>
          <w:szCs w:val="21"/>
        </w:rPr>
        <w:t>1. 《重庆两江新区水土高新技术产业园建设投资有限公司造价管理办法（修订版）》</w:t>
      </w:r>
    </w:p>
    <w:p>
      <w:pPr>
        <w:keepNext/>
        <w:keepLines/>
        <w:widowControl/>
        <w:spacing w:before="100" w:beforeAutospacing="1" w:after="100" w:afterAutospacing="1" w:line="240" w:lineRule="exact"/>
        <w:jc w:val="left"/>
        <w:rPr>
          <w:rFonts w:ascii="宋体" w:hAnsi="宋体" w:cs="MingLiU"/>
          <w:szCs w:val="21"/>
        </w:rPr>
      </w:pPr>
      <w:r>
        <w:rPr>
          <w:rFonts w:ascii="宋体" w:hAnsi="宋体" w:cs="MingLiU"/>
          <w:szCs w:val="21"/>
        </w:rPr>
        <w:t>2.</w:t>
      </w:r>
      <w:r>
        <w:rPr>
          <w:rFonts w:hint="eastAsia" w:ascii="宋体" w:hAnsi="宋体" w:cs="MingLiU"/>
          <w:szCs w:val="21"/>
        </w:rPr>
        <w:t xml:space="preserve"> 《重庆两江新区水土高新技术产业园建设投资有限公司建设工程变更管理实施细则》</w:t>
      </w:r>
    </w:p>
    <w:p>
      <w:pPr>
        <w:keepNext/>
        <w:keepLines/>
        <w:widowControl/>
        <w:spacing w:before="100" w:beforeAutospacing="1" w:after="100" w:afterAutospacing="1" w:line="240" w:lineRule="exact"/>
        <w:jc w:val="left"/>
        <w:rPr>
          <w:rFonts w:ascii="宋体" w:hAnsi="宋体" w:cs="MingLiU"/>
          <w:szCs w:val="21"/>
        </w:rPr>
      </w:pPr>
      <w:r>
        <w:rPr>
          <w:rFonts w:ascii="宋体" w:hAnsi="宋体" w:cs="MingLiU"/>
          <w:szCs w:val="21"/>
        </w:rPr>
        <w:t>3.</w:t>
      </w:r>
      <w:r>
        <w:rPr>
          <w:rFonts w:hint="eastAsia" w:ascii="宋体" w:hAnsi="宋体" w:cs="MingLiU"/>
          <w:szCs w:val="21"/>
        </w:rPr>
        <w:t xml:space="preserve"> 《重庆两江新区水土高新技术产业园建设投资有限公司结（决）算管理办法（试行）》</w:t>
      </w:r>
    </w:p>
    <w:p>
      <w:pPr>
        <w:keepNext/>
        <w:keepLines/>
        <w:widowControl/>
        <w:spacing w:before="100" w:beforeAutospacing="1" w:after="100" w:afterAutospacing="1" w:line="240" w:lineRule="exact"/>
        <w:rPr>
          <w:rFonts w:ascii="宋体" w:hAnsi="宋体" w:eastAsia="仿宋_GB2312" w:cs="MingLiU"/>
          <w:szCs w:val="21"/>
        </w:rPr>
      </w:pPr>
      <w:r>
        <w:rPr>
          <w:rFonts w:ascii="宋体" w:hAnsi="宋体" w:eastAsia="仿宋_GB2312" w:cs="MingLiU"/>
          <w:szCs w:val="21"/>
        </w:rPr>
        <w:t>4</w:t>
      </w:r>
      <w:r>
        <w:rPr>
          <w:rFonts w:ascii="宋体" w:hAnsi="宋体" w:cs="MingLiU"/>
          <w:szCs w:val="21"/>
        </w:rPr>
        <w:t xml:space="preserve">. </w:t>
      </w:r>
      <w:r>
        <w:rPr>
          <w:rFonts w:hint="eastAsia" w:ascii="宋体" w:hAnsi="宋体" w:cs="MingLiU"/>
          <w:szCs w:val="21"/>
        </w:rPr>
        <w:t>《两江新区政府投资建设工程计价条款》</w:t>
      </w:r>
    </w:p>
    <w:p/>
    <w:p>
      <w:pPr>
        <w:widowControl/>
        <w:jc w:val="left"/>
        <w:rPr>
          <w:rFonts w:ascii="宋体" w:hAnsi="宋体"/>
          <w:b/>
          <w:bCs/>
          <w:kern w:val="0"/>
          <w:sz w:val="44"/>
          <w:szCs w:val="44"/>
          <w:lang w:val="zh-CN"/>
        </w:rPr>
      </w:pPr>
      <w:r>
        <w:rPr>
          <w:rFonts w:ascii="宋体" w:hAnsi="宋体"/>
          <w:kern w:val="0"/>
        </w:rPr>
        <w:br w:type="page"/>
      </w:r>
    </w:p>
    <w:p>
      <w:pPr>
        <w:pStyle w:val="4"/>
        <w:spacing w:line="288" w:lineRule="auto"/>
        <w:ind w:firstLine="1325" w:firstLineChars="300"/>
        <w:jc w:val="center"/>
        <w:rPr>
          <w:rFonts w:ascii="宋体" w:hAnsi="宋体"/>
          <w:kern w:val="0"/>
        </w:rPr>
      </w:pPr>
      <w:r>
        <w:rPr>
          <w:rFonts w:hint="eastAsia" w:ascii="宋体" w:hAnsi="宋体"/>
          <w:kern w:val="0"/>
        </w:rPr>
        <w:t>第五章  工程量清单</w:t>
      </w:r>
      <w:bookmarkEnd w:id="312"/>
      <w:bookmarkEnd w:id="314"/>
    </w:p>
    <w:p>
      <w:pPr>
        <w:spacing w:line="288" w:lineRule="auto"/>
        <w:rPr>
          <w:rFonts w:ascii="宋体" w:hAnsi="宋体"/>
        </w:rPr>
      </w:pPr>
    </w:p>
    <w:bookmarkEnd w:id="313"/>
    <w:p>
      <w:pPr>
        <w:spacing w:line="288" w:lineRule="auto"/>
        <w:jc w:val="center"/>
        <w:rPr>
          <w:rFonts w:ascii="宋体" w:hAnsi="宋体"/>
          <w:sz w:val="24"/>
        </w:rPr>
      </w:pPr>
      <w:r>
        <w:rPr>
          <w:rFonts w:hint="eastAsia" w:ascii="宋体" w:hAnsi="宋体"/>
          <w:sz w:val="24"/>
        </w:rPr>
        <w:t>电子版：竞标人自行下载。</w:t>
      </w:r>
    </w:p>
    <w:p>
      <w:pPr>
        <w:snapToGrid w:val="0"/>
        <w:spacing w:beforeLines="50" w:line="288" w:lineRule="auto"/>
        <w:rPr>
          <w:rFonts w:ascii="宋体" w:hAnsi="宋体"/>
          <w:szCs w:val="21"/>
        </w:rPr>
      </w:pPr>
      <w:r>
        <w:rPr>
          <w:rFonts w:hint="eastAsia" w:ascii="宋体" w:hAnsi="宋体"/>
        </w:rPr>
        <w:br w:type="page"/>
      </w:r>
      <w:bookmarkStart w:id="732" w:name="_Toc291847153"/>
    </w:p>
    <w:p>
      <w:pPr>
        <w:pStyle w:val="4"/>
        <w:keepNext w:val="0"/>
        <w:keepLines w:val="0"/>
        <w:numPr>
          <w:ilvl w:val="0"/>
          <w:numId w:val="7"/>
        </w:numPr>
        <w:autoSpaceDE w:val="0"/>
        <w:autoSpaceDN w:val="0"/>
        <w:adjustRightInd w:val="0"/>
        <w:spacing w:before="0" w:after="0" w:line="288" w:lineRule="auto"/>
        <w:jc w:val="center"/>
        <w:rPr>
          <w:rFonts w:ascii="宋体" w:hAnsi="宋体"/>
          <w:kern w:val="0"/>
        </w:rPr>
      </w:pPr>
      <w:bookmarkStart w:id="733" w:name="_Toc451342705"/>
      <w:bookmarkStart w:id="734" w:name="_Toc488005259"/>
      <w:bookmarkStart w:id="735" w:name="_Toc54249513"/>
      <w:r>
        <w:rPr>
          <w:rFonts w:hint="eastAsia" w:ascii="宋体" w:hAnsi="宋体"/>
          <w:b w:val="0"/>
          <w:kern w:val="0"/>
        </w:rPr>
        <w:t>图</w:t>
      </w:r>
      <w:r>
        <w:rPr>
          <w:rFonts w:hint="eastAsia" w:ascii="宋体" w:hAnsi="宋体"/>
          <w:b w:val="0"/>
          <w:kern w:val="0"/>
        </w:rPr>
        <w:tab/>
      </w:r>
      <w:r>
        <w:rPr>
          <w:rFonts w:hint="eastAsia" w:ascii="宋体" w:hAnsi="宋体"/>
          <w:b w:val="0"/>
          <w:kern w:val="0"/>
        </w:rPr>
        <w:t>纸</w:t>
      </w:r>
      <w:bookmarkEnd w:id="732"/>
      <w:bookmarkEnd w:id="733"/>
      <w:bookmarkEnd w:id="734"/>
      <w:bookmarkEnd w:id="735"/>
    </w:p>
    <w:p>
      <w:pPr>
        <w:spacing w:line="288" w:lineRule="auto"/>
        <w:rPr>
          <w:rFonts w:ascii="宋体" w:hAnsi="宋体"/>
        </w:rPr>
      </w:pPr>
    </w:p>
    <w:p>
      <w:pPr>
        <w:spacing w:line="288" w:lineRule="auto"/>
        <w:jc w:val="center"/>
        <w:rPr>
          <w:rFonts w:ascii="宋体" w:hAnsi="宋体"/>
          <w:sz w:val="24"/>
        </w:rPr>
      </w:pPr>
      <w:r>
        <w:rPr>
          <w:rFonts w:hint="eastAsia" w:ascii="宋体" w:hAnsi="宋体"/>
          <w:sz w:val="24"/>
        </w:rPr>
        <w:t>电子版：竞标人自行下载。</w:t>
      </w:r>
    </w:p>
    <w:p>
      <w:pPr>
        <w:spacing w:line="288" w:lineRule="auto"/>
        <w:rPr>
          <w:rFonts w:ascii="宋体" w:hAnsi="宋体"/>
          <w:sz w:val="24"/>
        </w:rPr>
      </w:pPr>
    </w:p>
    <w:p>
      <w:pPr>
        <w:widowControl/>
        <w:spacing w:line="288" w:lineRule="auto"/>
        <w:jc w:val="left"/>
        <w:rPr>
          <w:rFonts w:ascii="宋体" w:hAnsi="宋体"/>
          <w:sz w:val="24"/>
        </w:rPr>
        <w:sectPr>
          <w:pgSz w:w="11906" w:h="16838"/>
          <w:pgMar w:top="1440" w:right="1797" w:bottom="1440" w:left="1797" w:header="851" w:footer="992" w:gutter="0"/>
          <w:cols w:space="720" w:num="1"/>
          <w:docGrid w:type="lines" w:linePitch="312" w:charSpace="0"/>
        </w:sectPr>
      </w:pPr>
    </w:p>
    <w:p>
      <w:pPr>
        <w:pStyle w:val="4"/>
        <w:spacing w:line="288" w:lineRule="auto"/>
        <w:jc w:val="center"/>
        <w:rPr>
          <w:rFonts w:ascii="宋体" w:hAnsi="宋体"/>
        </w:rPr>
      </w:pPr>
      <w:bookmarkStart w:id="736" w:name="_Toc488005260"/>
      <w:bookmarkStart w:id="737" w:name="_Toc54249514"/>
      <w:bookmarkStart w:id="738" w:name="_Toc451342706"/>
      <w:r>
        <w:rPr>
          <w:rFonts w:hint="eastAsia" w:ascii="宋体" w:hAnsi="宋体"/>
          <w:kern w:val="0"/>
        </w:rPr>
        <w:t>第七章 技术标准和要求</w:t>
      </w:r>
      <w:bookmarkEnd w:id="736"/>
      <w:bookmarkEnd w:id="737"/>
      <w:bookmarkEnd w:id="738"/>
    </w:p>
    <w:p>
      <w:pPr>
        <w:spacing w:line="288" w:lineRule="auto"/>
        <w:rPr>
          <w:rFonts w:ascii="宋体" w:hAnsi="宋体"/>
          <w:szCs w:val="21"/>
        </w:rPr>
      </w:pPr>
      <w:r>
        <w:rPr>
          <w:rFonts w:hint="eastAsia" w:ascii="宋体" w:hAnsi="宋体"/>
          <w:szCs w:val="21"/>
        </w:rPr>
        <w:t>1.质量要求：达到国家及地方现行有关施工质量验收规范要求，并一次性验收合格。</w:t>
      </w:r>
    </w:p>
    <w:p>
      <w:pPr>
        <w:spacing w:line="288" w:lineRule="auto"/>
        <w:rPr>
          <w:rFonts w:ascii="宋体" w:hAnsi="宋体"/>
          <w:szCs w:val="21"/>
        </w:rPr>
      </w:pPr>
      <w:r>
        <w:rPr>
          <w:rFonts w:hint="eastAsia" w:ascii="宋体" w:hAnsi="宋体"/>
          <w:szCs w:val="21"/>
        </w:rPr>
        <w:t>2.安全管理：严格执行中华人民共和国国务院令第393号《建设工程安全生产管理条例》，施工期间无重大伤亡事故发生。</w:t>
      </w:r>
    </w:p>
    <w:p>
      <w:pPr>
        <w:adjustRightInd w:val="0"/>
        <w:snapToGrid w:val="0"/>
        <w:spacing w:line="288" w:lineRule="auto"/>
        <w:rPr>
          <w:rFonts w:ascii="宋体" w:hAnsi="宋体"/>
          <w:szCs w:val="21"/>
        </w:rPr>
      </w:pPr>
      <w:r>
        <w:rPr>
          <w:rFonts w:hint="eastAsia" w:ascii="宋体" w:hAnsi="宋体"/>
          <w:szCs w:val="21"/>
        </w:rPr>
        <w:t>3.本项目为市政公用工程，技术标准和要求按照施工图标准执行。</w:t>
      </w:r>
    </w:p>
    <w:p>
      <w:pPr>
        <w:widowControl/>
        <w:spacing w:line="288" w:lineRule="auto"/>
        <w:jc w:val="left"/>
        <w:rPr>
          <w:rFonts w:ascii="宋体" w:hAnsi="宋体"/>
        </w:rPr>
        <w:sectPr>
          <w:pgSz w:w="11906" w:h="16838"/>
          <w:pgMar w:top="1440" w:right="1797" w:bottom="1440" w:left="1797" w:header="851" w:footer="992" w:gutter="0"/>
          <w:cols w:space="720" w:num="1"/>
          <w:docGrid w:type="lines" w:linePitch="312" w:charSpace="0"/>
        </w:sectPr>
      </w:pPr>
    </w:p>
    <w:p>
      <w:pPr>
        <w:pStyle w:val="4"/>
        <w:spacing w:line="288" w:lineRule="auto"/>
        <w:ind w:firstLine="1320" w:firstLineChars="300"/>
        <w:jc w:val="center"/>
        <w:rPr>
          <w:rFonts w:ascii="宋体" w:hAnsi="宋体"/>
          <w:kern w:val="0"/>
        </w:rPr>
      </w:pPr>
      <w:bookmarkStart w:id="739" w:name="_Toc451342707"/>
      <w:bookmarkStart w:id="740" w:name="_Toc488005261"/>
      <w:bookmarkStart w:id="741" w:name="_Toc54249515"/>
      <w:bookmarkStart w:id="742" w:name="_Toc291847157"/>
      <w:r>
        <w:rPr>
          <w:rFonts w:hint="eastAsia" w:ascii="宋体" w:hAnsi="宋体"/>
          <w:b w:val="0"/>
          <w:kern w:val="0"/>
        </w:rPr>
        <w:t>第八章 竞标文件格式</w:t>
      </w:r>
      <w:bookmarkEnd w:id="739"/>
      <w:bookmarkEnd w:id="740"/>
      <w:bookmarkEnd w:id="741"/>
      <w:bookmarkEnd w:id="742"/>
    </w:p>
    <w:p>
      <w:pPr>
        <w:widowControl/>
        <w:spacing w:line="288" w:lineRule="auto"/>
        <w:rPr>
          <w:rFonts w:ascii="宋体" w:hAnsi="宋体"/>
          <w:b/>
          <w:kern w:val="0"/>
          <w:sz w:val="44"/>
          <w:szCs w:val="44"/>
        </w:rPr>
        <w:sectPr>
          <w:pgSz w:w="11906" w:h="16838"/>
          <w:pgMar w:top="1440" w:right="1797" w:bottom="1440" w:left="1797" w:header="851" w:footer="992" w:gutter="0"/>
          <w:cols w:space="720" w:num="1"/>
          <w:docGrid w:type="lines" w:linePitch="312" w:charSpace="0"/>
        </w:sectPr>
      </w:pPr>
    </w:p>
    <w:p>
      <w:pPr>
        <w:pStyle w:val="5"/>
        <w:spacing w:line="288" w:lineRule="auto"/>
        <w:jc w:val="center"/>
        <w:rPr>
          <w:rFonts w:ascii="宋体" w:eastAsia="宋体"/>
          <w:bCs/>
          <w:sz w:val="32"/>
        </w:rPr>
      </w:pPr>
      <w:bookmarkStart w:id="743" w:name="_Toc451342708"/>
      <w:bookmarkStart w:id="744" w:name="_Toc291847158"/>
      <w:bookmarkStart w:id="745" w:name="_Toc488005262"/>
      <w:bookmarkStart w:id="746" w:name="_Toc54249516"/>
      <w:r>
        <w:rPr>
          <w:rFonts w:hint="eastAsia" w:ascii="宋体" w:eastAsia="宋体"/>
          <w:bCs/>
          <w:sz w:val="32"/>
        </w:rPr>
        <w:t>目    录</w:t>
      </w:r>
      <w:bookmarkEnd w:id="743"/>
      <w:bookmarkEnd w:id="744"/>
      <w:bookmarkEnd w:id="745"/>
      <w:bookmarkEnd w:id="746"/>
    </w:p>
    <w:p>
      <w:pPr>
        <w:autoSpaceDE w:val="0"/>
        <w:autoSpaceDN w:val="0"/>
        <w:adjustRightInd w:val="0"/>
        <w:snapToGrid w:val="0"/>
        <w:spacing w:line="288" w:lineRule="auto"/>
        <w:jc w:val="left"/>
        <w:rPr>
          <w:rFonts w:ascii="宋体" w:hAnsi="宋体" w:cs="MingLiU"/>
          <w:b/>
          <w:kern w:val="0"/>
          <w:sz w:val="24"/>
        </w:rPr>
      </w:pPr>
      <w:r>
        <w:rPr>
          <w:rFonts w:hint="eastAsia" w:ascii="宋体" w:hAnsi="宋体" w:cs="MingLiU"/>
          <w:b/>
          <w:kern w:val="0"/>
          <w:sz w:val="24"/>
        </w:rPr>
        <w:t>一、竞标函部分</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（一）竞标函</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（二）竞标函附录</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（三）法定代表人身份证明及授权委托书</w:t>
      </w:r>
    </w:p>
    <w:p>
      <w:pPr>
        <w:autoSpaceDE w:val="0"/>
        <w:autoSpaceDN w:val="0"/>
        <w:adjustRightInd w:val="0"/>
        <w:spacing w:line="288" w:lineRule="auto"/>
        <w:ind w:right="-20"/>
        <w:jc w:val="left"/>
        <w:rPr>
          <w:rFonts w:ascii="宋体" w:hAnsi="宋体" w:cs="MingLiU"/>
          <w:kern w:val="0"/>
          <w:sz w:val="24"/>
        </w:rPr>
      </w:pPr>
      <w:r>
        <w:rPr>
          <w:rFonts w:ascii="宋体" w:hAnsi="宋体" w:cs="MingLiU"/>
          <w:kern w:val="0"/>
          <w:sz w:val="24"/>
        </w:rPr>
        <w:t>（四）</w:t>
      </w:r>
      <w:r>
        <w:rPr>
          <w:rFonts w:hint="eastAsia" w:ascii="宋体" w:hAnsi="宋体" w:cs="MingLiU"/>
          <w:kern w:val="0"/>
          <w:sz w:val="24"/>
        </w:rPr>
        <w:t>低价风险担保缴纳承诺书</w:t>
      </w:r>
    </w:p>
    <w:p>
      <w:pPr>
        <w:tabs>
          <w:tab w:val="left" w:pos="2580"/>
          <w:tab w:val="left" w:pos="5940"/>
        </w:tabs>
        <w:autoSpaceDE w:val="0"/>
        <w:autoSpaceDN w:val="0"/>
        <w:adjustRightInd w:val="0"/>
        <w:snapToGrid w:val="0"/>
        <w:spacing w:line="288" w:lineRule="auto"/>
        <w:jc w:val="left"/>
        <w:rPr>
          <w:rFonts w:ascii="宋体" w:hAnsi="宋体"/>
          <w:b/>
          <w:kern w:val="0"/>
          <w:sz w:val="24"/>
        </w:rPr>
      </w:pPr>
      <w:r>
        <w:rPr>
          <w:rFonts w:hint="eastAsia" w:ascii="宋体" w:hAnsi="宋体"/>
          <w:b/>
          <w:kern w:val="0"/>
          <w:sz w:val="24"/>
        </w:rPr>
        <w:t>二、商务部分</w:t>
      </w:r>
    </w:p>
    <w:p>
      <w:pPr>
        <w:autoSpaceDE w:val="0"/>
        <w:autoSpaceDN w:val="0"/>
        <w:adjustRightInd w:val="0"/>
        <w:snapToGrid w:val="0"/>
        <w:spacing w:line="288" w:lineRule="auto"/>
        <w:ind w:firstLine="120" w:firstLineChars="50"/>
        <w:jc w:val="left"/>
        <w:rPr>
          <w:rFonts w:ascii="宋体" w:hAnsi="宋体" w:cs="MingLiU"/>
          <w:kern w:val="0"/>
          <w:szCs w:val="21"/>
        </w:rPr>
      </w:pPr>
      <w:r>
        <w:rPr>
          <w:rFonts w:hint="eastAsia" w:ascii="宋体" w:hAnsi="宋体" w:cs="MingLiU"/>
          <w:kern w:val="0"/>
          <w:sz w:val="24"/>
        </w:rPr>
        <w:t xml:space="preserve">已标价工程量清单（2013建设工程工程量清单计价规范中的所有表格） </w:t>
      </w:r>
    </w:p>
    <w:p>
      <w:pPr>
        <w:autoSpaceDE w:val="0"/>
        <w:autoSpaceDN w:val="0"/>
        <w:adjustRightInd w:val="0"/>
        <w:spacing w:line="288" w:lineRule="auto"/>
        <w:ind w:right="-20"/>
        <w:jc w:val="left"/>
        <w:rPr>
          <w:rFonts w:ascii="宋体" w:hAnsi="宋体" w:cs="MingLiU"/>
          <w:b/>
          <w:kern w:val="0"/>
          <w:sz w:val="24"/>
        </w:rPr>
      </w:pPr>
      <w:r>
        <w:rPr>
          <w:rFonts w:hint="eastAsia" w:ascii="宋体" w:hAnsi="宋体"/>
          <w:b/>
          <w:sz w:val="24"/>
        </w:rPr>
        <w:t>三、资格审查资料</w:t>
      </w:r>
      <w:r>
        <w:rPr>
          <w:rFonts w:hint="eastAsia" w:ascii="宋体" w:hAnsi="宋体" w:cs="MingLiU"/>
          <w:kern w:val="0"/>
          <w:sz w:val="24"/>
        </w:rPr>
        <w:t xml:space="preserve"> </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（一）法定代表人身份证明及授权委托书</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（二）竞标人基本情况表</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（三）项目管理机构</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（四）近年完成的类似项目情况表</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（五）信誉声明</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（六）其他资料</w:t>
      </w: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r>
        <w:rPr>
          <w:rFonts w:hint="eastAsia" w:ascii="宋体" w:hAnsi="宋体"/>
          <w:kern w:val="0"/>
          <w:sz w:val="28"/>
          <w:szCs w:val="28"/>
        </w:rPr>
        <w:br w:type="page"/>
      </w: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pStyle w:val="5"/>
        <w:spacing w:line="288" w:lineRule="auto"/>
        <w:ind w:firstLine="2554" w:firstLineChars="800"/>
        <w:rPr>
          <w:rFonts w:ascii="宋体" w:eastAsia="宋体"/>
          <w:bCs/>
          <w:sz w:val="32"/>
        </w:rPr>
      </w:pPr>
      <w:bookmarkStart w:id="747" w:name="_Toc451342709"/>
      <w:bookmarkStart w:id="748" w:name="_Toc488005263"/>
      <w:bookmarkStart w:id="749" w:name="_Toc291847159"/>
      <w:bookmarkStart w:id="750" w:name="_Toc54249517"/>
      <w:r>
        <w:rPr>
          <w:rFonts w:hint="eastAsia" w:ascii="宋体" w:eastAsia="宋体"/>
          <w:bCs/>
          <w:sz w:val="32"/>
        </w:rPr>
        <w:t>一、竞标函部分</w:t>
      </w:r>
      <w:bookmarkEnd w:id="747"/>
      <w:bookmarkEnd w:id="748"/>
      <w:bookmarkEnd w:id="749"/>
      <w:bookmarkEnd w:id="750"/>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pStyle w:val="2"/>
        <w:ind w:firstLine="210"/>
      </w:pPr>
    </w:p>
    <w:p>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Pr>
          <w:rFonts w:hint="eastAsia" w:ascii="宋体" w:hAnsi="宋体"/>
          <w:b/>
          <w:kern w:val="0"/>
          <w:sz w:val="28"/>
          <w:szCs w:val="28"/>
          <w:u w:val="single"/>
        </w:rPr>
        <w:tab/>
      </w:r>
      <w:r>
        <w:rPr>
          <w:rFonts w:hint="eastAsia" w:ascii="宋体" w:hAnsi="宋体" w:cs="MingLiU"/>
          <w:b/>
          <w:w w:val="99"/>
          <w:kern w:val="0"/>
          <w:sz w:val="28"/>
          <w:szCs w:val="28"/>
        </w:rPr>
        <w:t>（项目名称</w:t>
      </w:r>
      <w:r>
        <w:rPr>
          <w:rFonts w:hint="eastAsia" w:ascii="宋体" w:hAnsi="宋体" w:cs="MingLiU"/>
          <w:b/>
          <w:spacing w:val="1"/>
          <w:w w:val="99"/>
          <w:kern w:val="0"/>
          <w:sz w:val="28"/>
          <w:szCs w:val="28"/>
        </w:rPr>
        <w:t>）</w:t>
      </w:r>
      <w:r>
        <w:rPr>
          <w:rFonts w:hint="eastAsia" w:ascii="宋体" w:hAnsi="宋体" w:cs="MingLiU"/>
          <w:b/>
          <w:w w:val="99"/>
          <w:kern w:val="0"/>
          <w:sz w:val="28"/>
          <w:szCs w:val="28"/>
        </w:rPr>
        <w:t>施工招标</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Pr>
          <w:rFonts w:hint="eastAsia" w:ascii="宋体" w:hAnsi="宋体" w:cs="MingLiU"/>
          <w:b/>
          <w:kern w:val="0"/>
          <w:sz w:val="84"/>
          <w:szCs w:val="84"/>
        </w:rPr>
        <w:t>竞  标  文  件</w:t>
      </w:r>
    </w:p>
    <w:p>
      <w:pPr>
        <w:autoSpaceDE w:val="0"/>
        <w:autoSpaceDN w:val="0"/>
        <w:adjustRightInd w:val="0"/>
        <w:snapToGrid w:val="0"/>
        <w:spacing w:line="288" w:lineRule="auto"/>
        <w:jc w:val="left"/>
        <w:rPr>
          <w:rFonts w:ascii="宋体" w:hAnsi="宋体" w:cs="MingLiU"/>
          <w:kern w:val="0"/>
          <w:sz w:val="16"/>
          <w:szCs w:val="16"/>
        </w:rPr>
      </w:pPr>
    </w:p>
    <w:p>
      <w:pPr>
        <w:autoSpaceDE w:val="0"/>
        <w:autoSpaceDN w:val="0"/>
        <w:adjustRightInd w:val="0"/>
        <w:snapToGrid w:val="0"/>
        <w:spacing w:line="288" w:lineRule="auto"/>
        <w:jc w:val="center"/>
        <w:rPr>
          <w:rFonts w:ascii="宋体" w:hAnsi="宋体" w:cs="MingLiU"/>
          <w:b/>
          <w:kern w:val="0"/>
          <w:sz w:val="36"/>
          <w:szCs w:val="36"/>
        </w:rPr>
      </w:pPr>
      <w:r>
        <w:rPr>
          <w:rFonts w:hint="eastAsia" w:ascii="宋体" w:hAnsi="宋体" w:cs="MingLiU"/>
          <w:b/>
          <w:kern w:val="0"/>
          <w:sz w:val="36"/>
          <w:szCs w:val="36"/>
        </w:rPr>
        <w:t>竞标函部分</w:t>
      </w: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hint="eastAsia" w:ascii="宋体" w:hAnsi="宋体" w:cs="MingLiU"/>
          <w:b/>
          <w:w w:val="99"/>
          <w:kern w:val="0"/>
          <w:sz w:val="28"/>
          <w:szCs w:val="28"/>
        </w:rPr>
        <w:t>竞标人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（盖单位公章）</w:t>
      </w:r>
    </w:p>
    <w:p>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w:t>
      </w:r>
      <w:r>
        <w:rPr>
          <w:rFonts w:hint="eastAsia" w:ascii="宋体" w:hAnsi="宋体" w:cs="宋体"/>
          <w:b/>
          <w:w w:val="99"/>
          <w:kern w:val="0"/>
          <w:sz w:val="28"/>
          <w:szCs w:val="28"/>
        </w:rPr>
        <w:t>签字</w:t>
      </w:r>
      <w:r>
        <w:rPr>
          <w:rFonts w:hint="eastAsia" w:ascii="宋体" w:hAnsi="宋体" w:cs="MingLiU"/>
          <w:b/>
          <w:w w:val="99"/>
          <w:kern w:val="0"/>
          <w:sz w:val="28"/>
          <w:szCs w:val="28"/>
        </w:rPr>
        <w:t>或盖章）</w:t>
      </w:r>
    </w:p>
    <w:p>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p>
      <w:pPr>
        <w:autoSpaceDE w:val="0"/>
        <w:autoSpaceDN w:val="0"/>
        <w:adjustRightInd w:val="0"/>
        <w:snapToGrid w:val="0"/>
        <w:spacing w:line="288" w:lineRule="auto"/>
        <w:jc w:val="center"/>
        <w:rPr>
          <w:rFonts w:ascii="宋体" w:hAnsi="宋体" w:cs="MingLiU"/>
          <w:b/>
          <w:kern w:val="0"/>
          <w:sz w:val="32"/>
          <w:szCs w:val="32"/>
        </w:rPr>
      </w:pPr>
      <w:r>
        <w:rPr>
          <w:rFonts w:hint="eastAsia" w:ascii="宋体" w:hAnsi="宋体" w:cs="MingLiU"/>
          <w:b/>
          <w:kern w:val="0"/>
          <w:sz w:val="32"/>
          <w:szCs w:val="32"/>
        </w:rPr>
        <w:t>目     录</w:t>
      </w:r>
    </w:p>
    <w:p>
      <w:pPr>
        <w:autoSpaceDE w:val="0"/>
        <w:autoSpaceDN w:val="0"/>
        <w:adjustRightInd w:val="0"/>
        <w:snapToGrid w:val="0"/>
        <w:spacing w:line="288" w:lineRule="auto"/>
        <w:jc w:val="left"/>
        <w:rPr>
          <w:rFonts w:ascii="宋体" w:hAnsi="宋体" w:cs="MingLiU"/>
          <w:kern w:val="0"/>
          <w:sz w:val="24"/>
          <w:szCs w:val="21"/>
        </w:rPr>
      </w:pPr>
    </w:p>
    <w:p>
      <w:pPr>
        <w:pStyle w:val="121"/>
        <w:numPr>
          <w:ilvl w:val="0"/>
          <w:numId w:val="8"/>
        </w:numPr>
        <w:autoSpaceDE w:val="0"/>
        <w:autoSpaceDN w:val="0"/>
        <w:adjustRightInd w:val="0"/>
        <w:spacing w:line="288" w:lineRule="auto"/>
        <w:ind w:right="-20" w:firstLineChars="0"/>
        <w:jc w:val="left"/>
        <w:rPr>
          <w:rFonts w:ascii="宋体" w:hAnsi="宋体" w:cs="MingLiU"/>
          <w:kern w:val="0"/>
          <w:sz w:val="24"/>
        </w:rPr>
      </w:pPr>
      <w:r>
        <w:rPr>
          <w:rFonts w:hint="eastAsia" w:ascii="宋体" w:hAnsi="宋体" w:cs="MingLiU"/>
          <w:kern w:val="0"/>
          <w:sz w:val="24"/>
        </w:rPr>
        <w:t>竞标函</w:t>
      </w:r>
    </w:p>
    <w:p>
      <w:pPr>
        <w:pStyle w:val="121"/>
        <w:numPr>
          <w:ilvl w:val="0"/>
          <w:numId w:val="8"/>
        </w:numPr>
        <w:autoSpaceDE w:val="0"/>
        <w:autoSpaceDN w:val="0"/>
        <w:adjustRightInd w:val="0"/>
        <w:spacing w:line="288" w:lineRule="auto"/>
        <w:ind w:right="-20" w:firstLineChars="0"/>
        <w:jc w:val="left"/>
        <w:rPr>
          <w:rFonts w:ascii="宋体" w:hAnsi="宋体" w:cs="MingLiU"/>
          <w:kern w:val="0"/>
          <w:sz w:val="24"/>
        </w:rPr>
      </w:pPr>
      <w:r>
        <w:rPr>
          <w:rFonts w:hint="eastAsia" w:ascii="宋体" w:hAnsi="宋体" w:cs="MingLiU"/>
          <w:kern w:val="0"/>
          <w:sz w:val="24"/>
        </w:rPr>
        <w:t>竞标函附录</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（三）法定代表人身份证明及授权委托书</w:t>
      </w:r>
    </w:p>
    <w:p>
      <w:pPr>
        <w:autoSpaceDE w:val="0"/>
        <w:autoSpaceDN w:val="0"/>
        <w:adjustRightInd w:val="0"/>
        <w:spacing w:line="288" w:lineRule="auto"/>
        <w:ind w:right="-20"/>
        <w:jc w:val="left"/>
        <w:rPr>
          <w:rFonts w:ascii="宋体" w:hAnsi="宋体" w:cs="MingLiU"/>
          <w:kern w:val="0"/>
          <w:sz w:val="24"/>
        </w:rPr>
      </w:pPr>
      <w:r>
        <w:rPr>
          <w:rFonts w:ascii="宋体" w:hAnsi="宋体" w:cs="MingLiU"/>
          <w:kern w:val="0"/>
          <w:sz w:val="24"/>
        </w:rPr>
        <w:t>（四）</w:t>
      </w:r>
      <w:r>
        <w:rPr>
          <w:rFonts w:hint="eastAsia" w:ascii="宋体" w:hAnsi="宋体" w:cs="MingLiU"/>
          <w:kern w:val="0"/>
          <w:sz w:val="24"/>
        </w:rPr>
        <w:t>低价风险担保缴纳承诺书</w:t>
      </w:r>
    </w:p>
    <w:p>
      <w:pPr>
        <w:pStyle w:val="2"/>
        <w:ind w:firstLine="210"/>
      </w:pPr>
    </w:p>
    <w:p>
      <w:pPr>
        <w:autoSpaceDE w:val="0"/>
        <w:autoSpaceDN w:val="0"/>
        <w:adjustRightInd w:val="0"/>
        <w:snapToGrid w:val="0"/>
        <w:spacing w:line="288" w:lineRule="auto"/>
        <w:jc w:val="left"/>
        <w:rPr>
          <w:rFonts w:ascii="宋体" w:hAnsi="宋体" w:cs="MingLiU"/>
          <w:kern w:val="0"/>
          <w:szCs w:val="21"/>
        </w:rPr>
      </w:pPr>
    </w:p>
    <w:p>
      <w:pPr>
        <w:autoSpaceDE w:val="0"/>
        <w:autoSpaceDN w:val="0"/>
        <w:adjustRightInd w:val="0"/>
        <w:snapToGrid w:val="0"/>
        <w:spacing w:line="288" w:lineRule="auto"/>
        <w:jc w:val="left"/>
        <w:rPr>
          <w:rFonts w:ascii="宋体" w:hAnsi="宋体" w:cs="MingLiU"/>
          <w:kern w:val="0"/>
          <w:szCs w:val="21"/>
        </w:rPr>
      </w:pPr>
    </w:p>
    <w:p>
      <w:pPr>
        <w:autoSpaceDE w:val="0"/>
        <w:autoSpaceDN w:val="0"/>
        <w:adjustRightInd w:val="0"/>
        <w:snapToGrid w:val="0"/>
        <w:spacing w:line="288" w:lineRule="auto"/>
        <w:jc w:val="left"/>
        <w:rPr>
          <w:rFonts w:ascii="宋体" w:hAnsi="宋体" w:cs="MingLiU"/>
          <w:kern w:val="0"/>
          <w:szCs w:val="21"/>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p>
      <w:pPr>
        <w:autoSpaceDE w:val="0"/>
        <w:autoSpaceDN w:val="0"/>
        <w:adjustRightInd w:val="0"/>
        <w:snapToGrid w:val="0"/>
        <w:spacing w:line="288" w:lineRule="auto"/>
        <w:jc w:val="left"/>
        <w:rPr>
          <w:rFonts w:ascii="宋体" w:hAnsi="宋体" w:cs="MingLiU"/>
          <w:w w:val="99"/>
          <w:kern w:val="0"/>
          <w:sz w:val="28"/>
          <w:szCs w:val="28"/>
        </w:rPr>
      </w:pPr>
    </w:p>
    <w:p>
      <w:pPr>
        <w:autoSpaceDE w:val="0"/>
        <w:autoSpaceDN w:val="0"/>
        <w:adjustRightInd w:val="0"/>
        <w:snapToGrid w:val="0"/>
        <w:spacing w:line="288" w:lineRule="auto"/>
        <w:jc w:val="left"/>
        <w:rPr>
          <w:rFonts w:ascii="宋体" w:hAnsi="宋体" w:cs="MingLiU"/>
          <w:w w:val="99"/>
          <w:kern w:val="0"/>
          <w:sz w:val="28"/>
          <w:szCs w:val="28"/>
        </w:rPr>
      </w:pPr>
    </w:p>
    <w:p>
      <w:pPr>
        <w:autoSpaceDE w:val="0"/>
        <w:autoSpaceDN w:val="0"/>
        <w:adjustRightInd w:val="0"/>
        <w:snapToGrid w:val="0"/>
        <w:spacing w:line="288" w:lineRule="auto"/>
        <w:jc w:val="left"/>
        <w:rPr>
          <w:rFonts w:ascii="宋体" w:hAnsi="宋体" w:cs="MingLiU"/>
          <w:w w:val="99"/>
          <w:kern w:val="0"/>
          <w:sz w:val="28"/>
          <w:szCs w:val="28"/>
        </w:rPr>
      </w:pPr>
    </w:p>
    <w:p>
      <w:pPr>
        <w:autoSpaceDE w:val="0"/>
        <w:autoSpaceDN w:val="0"/>
        <w:adjustRightInd w:val="0"/>
        <w:snapToGrid w:val="0"/>
        <w:spacing w:line="288" w:lineRule="auto"/>
        <w:jc w:val="left"/>
        <w:rPr>
          <w:rFonts w:ascii="宋体" w:hAnsi="宋体" w:cs="MingLiU"/>
          <w:w w:val="99"/>
          <w:kern w:val="0"/>
          <w:sz w:val="28"/>
          <w:szCs w:val="28"/>
        </w:rPr>
      </w:pPr>
    </w:p>
    <w:p>
      <w:pPr>
        <w:pStyle w:val="6"/>
        <w:numPr>
          <w:ilvl w:val="0"/>
          <w:numId w:val="9"/>
        </w:numPr>
        <w:spacing w:line="360" w:lineRule="auto"/>
        <w:jc w:val="center"/>
        <w:rPr>
          <w:rFonts w:ascii="宋体" w:eastAsia="宋体"/>
          <w:sz w:val="28"/>
        </w:rPr>
      </w:pPr>
      <w:r>
        <w:rPr>
          <w:rFonts w:hint="eastAsia" w:ascii="宋体" w:eastAsia="宋体"/>
          <w:b w:val="0"/>
        </w:rPr>
        <w:br w:type="page"/>
      </w:r>
      <w:bookmarkStart w:id="751" w:name="_Toc54249518"/>
      <w:bookmarkStart w:id="752" w:name="_Toc291847160"/>
      <w:r>
        <w:rPr>
          <w:rFonts w:hint="eastAsia" w:ascii="宋体" w:eastAsia="宋体"/>
        </w:rPr>
        <w:t>竞标函</w:t>
      </w:r>
      <w:bookmarkEnd w:id="751"/>
    </w:p>
    <w:p>
      <w:pPr>
        <w:widowControl/>
        <w:snapToGrid w:val="0"/>
        <w:spacing w:before="16"/>
        <w:ind w:firstLine="480" w:firstLineChars="200"/>
        <w:jc w:val="left"/>
        <w:outlineLvl w:val="2"/>
        <w:rPr>
          <w:rFonts w:ascii="宋体" w:hAnsi="宋体" w:cs="宋体"/>
          <w:kern w:val="0"/>
          <w:sz w:val="24"/>
        </w:rPr>
      </w:pPr>
    </w:p>
    <w:p>
      <w:pPr>
        <w:tabs>
          <w:tab w:val="left" w:pos="2640"/>
        </w:tabs>
        <w:autoSpaceDE w:val="0"/>
        <w:autoSpaceDN w:val="0"/>
        <w:adjustRightInd w:val="0"/>
        <w:spacing w:line="360" w:lineRule="auto"/>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rPr>
        <w:t>比选人</w:t>
      </w:r>
      <w:r>
        <w:rPr>
          <w:rFonts w:ascii="宋体" w:hAnsi="宋体"/>
          <w:snapToGrid w:val="0"/>
          <w:kern w:val="0"/>
          <w:szCs w:val="21"/>
        </w:rPr>
        <w:t>名称）：</w:t>
      </w:r>
    </w:p>
    <w:p>
      <w:pPr>
        <w:tabs>
          <w:tab w:val="left" w:pos="2655"/>
          <w:tab w:val="left" w:pos="3520"/>
          <w:tab w:val="left" w:pos="5715"/>
          <w:tab w:val="left" w:pos="6945"/>
          <w:tab w:val="left" w:pos="798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1. 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（项目名称）比选文件的全部内容，愿意以人民币（大写）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hint="eastAsia" w:ascii="宋体" w:hAnsi="宋体"/>
          <w:snapToGrid w:val="0"/>
          <w:kern w:val="0"/>
          <w:szCs w:val="21"/>
        </w:rPr>
        <w:t>元</w:t>
      </w:r>
      <w:r>
        <w:rPr>
          <w:rFonts w:ascii="宋体" w:hAnsi="宋体"/>
          <w:snapToGrid w:val="0"/>
          <w:kern w:val="0"/>
          <w:szCs w:val="21"/>
        </w:rPr>
        <w:t>）的竞标总报价，其中</w:t>
      </w:r>
      <w:r>
        <w:rPr>
          <w:rFonts w:ascii="宋体" w:hAnsi="宋体"/>
          <w:snapToGrid w:val="0"/>
          <w:kern w:val="0"/>
        </w:rPr>
        <w:t>安全文明施工费暂定金额为人民币</w:t>
      </w:r>
      <w:r>
        <w:rPr>
          <w:rFonts w:ascii="宋体" w:hAnsi="宋体"/>
          <w:snapToGrid w:val="0"/>
          <w:kern w:val="0"/>
          <w:u w:val="single"/>
        </w:rPr>
        <w:t xml:space="preserve">        </w:t>
      </w:r>
      <w:r>
        <w:rPr>
          <w:rFonts w:ascii="宋体" w:hAnsi="宋体"/>
          <w:snapToGrid w:val="0"/>
          <w:kern w:val="0"/>
        </w:rPr>
        <w:t>元</w:t>
      </w:r>
      <w:r>
        <w:rPr>
          <w:rFonts w:ascii="宋体" w:hAnsi="宋体"/>
          <w:snapToGrid w:val="0"/>
          <w:kern w:val="0"/>
          <w:szCs w:val="21"/>
        </w:rPr>
        <w:t>，该工程</w:t>
      </w:r>
      <w:r>
        <w:rPr>
          <w:rFonts w:ascii="宋体" w:hAnsi="宋体"/>
          <w:snapToGrid w:val="0"/>
          <w:kern w:val="0"/>
        </w:rPr>
        <w:t>项目经理为</w:t>
      </w:r>
      <w:r>
        <w:rPr>
          <w:rFonts w:ascii="宋体" w:hAnsi="宋体"/>
          <w:snapToGrid w:val="0"/>
          <w:kern w:val="0"/>
          <w:u w:val="single"/>
        </w:rPr>
        <w:t xml:space="preserve">        </w:t>
      </w:r>
      <w:r>
        <w:rPr>
          <w:rFonts w:ascii="宋体" w:hAnsi="宋体"/>
          <w:snapToGrid w:val="0"/>
          <w:kern w:val="0"/>
          <w:szCs w:val="21"/>
        </w:rPr>
        <w:t>，身份证号码为</w:t>
      </w:r>
      <w:r>
        <w:rPr>
          <w:rFonts w:ascii="宋体" w:hAnsi="宋体"/>
          <w:snapToGrid w:val="0"/>
          <w:kern w:val="0"/>
          <w:szCs w:val="21"/>
          <w:u w:val="single"/>
        </w:rPr>
        <w:t xml:space="preserve">        </w:t>
      </w:r>
      <w:r>
        <w:rPr>
          <w:rFonts w:ascii="宋体" w:hAnsi="宋体"/>
          <w:snapToGrid w:val="0"/>
          <w:kern w:val="0"/>
          <w:szCs w:val="21"/>
        </w:rPr>
        <w:t>；委托代理人为：</w:t>
      </w:r>
      <w:r>
        <w:rPr>
          <w:rFonts w:ascii="宋体" w:hAnsi="宋体"/>
          <w:snapToGrid w:val="0"/>
          <w:kern w:val="0"/>
          <w:szCs w:val="21"/>
          <w:u w:val="single"/>
        </w:rPr>
        <w:t xml:space="preserve">        </w:t>
      </w:r>
      <w:r>
        <w:rPr>
          <w:rFonts w:ascii="宋体" w:hAnsi="宋体"/>
          <w:snapToGrid w:val="0"/>
          <w:kern w:val="0"/>
          <w:szCs w:val="21"/>
        </w:rPr>
        <w:t>，身份证号码为</w:t>
      </w:r>
      <w:r>
        <w:rPr>
          <w:rFonts w:ascii="宋体" w:hAnsi="宋体"/>
          <w:snapToGrid w:val="0"/>
          <w:kern w:val="0"/>
          <w:szCs w:val="21"/>
          <w:u w:val="single"/>
        </w:rPr>
        <w:t xml:space="preserve">        </w:t>
      </w:r>
      <w:r>
        <w:rPr>
          <w:rFonts w:ascii="宋体" w:hAnsi="宋体"/>
          <w:snapToGrid w:val="0"/>
          <w:kern w:val="0"/>
          <w:szCs w:val="21"/>
        </w:rPr>
        <w:t>。工期</w:t>
      </w:r>
      <w:r>
        <w:rPr>
          <w:rFonts w:ascii="宋体" w:hAnsi="宋体"/>
          <w:snapToGrid w:val="0"/>
          <w:kern w:val="0"/>
          <w:szCs w:val="21"/>
          <w:u w:val="single"/>
        </w:rPr>
        <w:tab/>
      </w:r>
      <w:r>
        <w:rPr>
          <w:rFonts w:ascii="宋体" w:hAnsi="宋体"/>
          <w:snapToGrid w:val="0"/>
          <w:kern w:val="0"/>
          <w:szCs w:val="21"/>
        </w:rPr>
        <w:t>日历天， 按合同约定实施和完成承包工程，修补工程中的任何缺陷，工程质量达到</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2. 我方承诺在竞标有效期内不修改、撤销竞标文件。</w:t>
      </w:r>
    </w:p>
    <w:p>
      <w:pPr>
        <w:tabs>
          <w:tab w:val="left" w:pos="2310"/>
          <w:tab w:val="left" w:pos="6930"/>
        </w:tabs>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3. 随同本竞标函提交竞标保证金一份，金额为人民币（大写）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hint="eastAsia" w:ascii="宋体" w:hAnsi="宋体"/>
          <w:snapToGrid w:val="0"/>
          <w:kern w:val="0"/>
          <w:szCs w:val="21"/>
          <w:u w:val="single"/>
        </w:rPr>
        <w:t xml:space="preserve"> </w:t>
      </w:r>
      <w:r>
        <w:rPr>
          <w:rFonts w:hint="eastAsia" w:ascii="宋体" w:hAnsi="宋体"/>
          <w:snapToGrid w:val="0"/>
          <w:kern w:val="0"/>
          <w:szCs w:val="21"/>
        </w:rPr>
        <w:t>元</w:t>
      </w:r>
      <w:r>
        <w:rPr>
          <w:rFonts w:ascii="宋体" w:hAnsi="宋体"/>
          <w:snapToGrid w:val="0"/>
          <w:kern w:val="0"/>
          <w:szCs w:val="21"/>
        </w:rPr>
        <w:t>）。竞标保证金有限期与</w:t>
      </w:r>
      <w:r>
        <w:rPr>
          <w:rFonts w:hint="eastAsia" w:ascii="宋体" w:hAnsi="宋体"/>
          <w:snapToGrid w:val="0"/>
          <w:kern w:val="0"/>
          <w:szCs w:val="21"/>
        </w:rPr>
        <w:t>竞标</w:t>
      </w:r>
      <w:r>
        <w:rPr>
          <w:rFonts w:ascii="宋体" w:hAnsi="宋体"/>
          <w:snapToGrid w:val="0"/>
          <w:kern w:val="0"/>
          <w:szCs w:val="21"/>
        </w:rPr>
        <w:t>有限期一致，在此期间，若我方违反招投标有关法律、法规及本比选文件的相关规定，竞标保证金的受益人为</w:t>
      </w:r>
      <w:r>
        <w:rPr>
          <w:rFonts w:hint="eastAsia" w:ascii="宋体" w:hAnsi="宋体"/>
          <w:snapToGrid w:val="0"/>
          <w:kern w:val="0"/>
          <w:szCs w:val="21"/>
        </w:rPr>
        <w:t>比选人</w:t>
      </w:r>
      <w:r>
        <w:rPr>
          <w:rFonts w:ascii="宋体" w:hAnsi="宋体"/>
          <w:snapToGrid w:val="0"/>
          <w:kern w:val="0"/>
          <w:szCs w:val="21"/>
        </w:rPr>
        <w:t>。</w:t>
      </w:r>
    </w:p>
    <w:p>
      <w:pPr>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4. 如我方中标：</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（2）随同本竞标函递交的竞标函附录属于合同文件的组成部分。</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（3）我方承诺按照比选文件规定向你方递交履约担保。</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（4）我方承诺在合同约定的期限内完成并移交全部合同工程。</w:t>
      </w:r>
    </w:p>
    <w:p>
      <w:pPr>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5. 我方</w:t>
      </w:r>
      <w:r>
        <w:rPr>
          <w:rFonts w:ascii="宋体" w:hAnsi="宋体"/>
          <w:snapToGrid w:val="0"/>
          <w:spacing w:val="-2"/>
          <w:kern w:val="0"/>
          <w:szCs w:val="21"/>
        </w:rPr>
        <w:t>在此声明，所递交的竞标文件及有关资料内容完整、真实和准确，且不存在第二章“</w:t>
      </w:r>
      <w:r>
        <w:rPr>
          <w:rFonts w:hint="eastAsia" w:ascii="宋体" w:hAnsi="宋体"/>
          <w:snapToGrid w:val="0"/>
          <w:spacing w:val="-2"/>
          <w:kern w:val="0"/>
          <w:szCs w:val="21"/>
        </w:rPr>
        <w:t>竞标人</w:t>
      </w:r>
      <w:r>
        <w:rPr>
          <w:rFonts w:ascii="宋体" w:hAnsi="宋体"/>
          <w:snapToGrid w:val="0"/>
          <w:kern w:val="0"/>
          <w:szCs w:val="21"/>
        </w:rPr>
        <w:t>须知”第 1.4.3 项规定的任何一种情形。同时我方承诺接受比选文件及附件、答疑及补遗通知中所有的内容。</w:t>
      </w:r>
    </w:p>
    <w:p>
      <w:pPr>
        <w:tabs>
          <w:tab w:val="left" w:pos="5985"/>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 xml:space="preserve">6.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（其他补充说明）。</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rPr>
      </w:pPr>
      <w:r>
        <w:rPr>
          <w:rFonts w:hint="eastAsia" w:ascii="宋体" w:hAnsi="宋体"/>
          <w:snapToGrid w:val="0"/>
          <w:kern w:val="0"/>
          <w:szCs w:val="21"/>
        </w:rPr>
        <w:t>竞标</w:t>
      </w:r>
      <w:r>
        <w:rPr>
          <w:rFonts w:ascii="宋体" w:hAnsi="宋体"/>
          <w:snapToGrid w:val="0"/>
          <w:kern w:val="0"/>
          <w:szCs w:val="21"/>
        </w:rPr>
        <w:t>人：</w:t>
      </w:r>
      <w:r>
        <w:rPr>
          <w:rFonts w:ascii="宋体" w:hAnsi="宋体"/>
          <w:snapToGrid w:val="0"/>
          <w:kern w:val="0"/>
          <w:szCs w:val="21"/>
          <w:u w:val="single"/>
        </w:rPr>
        <w:t xml:space="preserve">                　　　　　               </w:t>
      </w:r>
      <w:r>
        <w:rPr>
          <w:rFonts w:ascii="宋体" w:hAnsi="宋体"/>
          <w:snapToGrid w:val="0"/>
          <w:kern w:val="0"/>
          <w:szCs w:val="21"/>
        </w:rPr>
        <w:t xml:space="preserve">（盖单位公章）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snapToGrid w:val="0"/>
          <w:kern w:val="0"/>
          <w:szCs w:val="21"/>
        </w:rPr>
        <w:t>（签字或盖章）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地    址：</w:t>
      </w:r>
      <w:r>
        <w:rPr>
          <w:rFonts w:ascii="宋体" w:hAnsi="宋体"/>
          <w:snapToGrid w:val="0"/>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网    址：</w:t>
      </w:r>
      <w:r>
        <w:rPr>
          <w:rFonts w:ascii="宋体" w:hAnsi="宋体"/>
          <w:snapToGrid w:val="0"/>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电    话：</w:t>
      </w:r>
      <w:r>
        <w:rPr>
          <w:rFonts w:ascii="宋体" w:hAnsi="宋体"/>
          <w:snapToGrid w:val="0"/>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传    真：</w:t>
      </w:r>
      <w:r>
        <w:rPr>
          <w:rFonts w:ascii="宋体" w:hAnsi="宋体"/>
          <w:snapToGrid w:val="0"/>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 w:val="20"/>
          <w:szCs w:val="20"/>
        </w:rPr>
      </w:pPr>
      <w:r>
        <w:rPr>
          <w:rFonts w:ascii="宋体" w:hAnsi="宋体"/>
          <w:snapToGrid w:val="0"/>
          <w:kern w:val="0"/>
          <w:szCs w:val="21"/>
        </w:rPr>
        <w:t>邮政编码：</w:t>
      </w:r>
      <w:r>
        <w:rPr>
          <w:rFonts w:ascii="宋体" w:hAnsi="宋体"/>
          <w:snapToGrid w:val="0"/>
          <w:kern w:val="0"/>
          <w:szCs w:val="21"/>
          <w:u w:val="single"/>
        </w:rPr>
        <w:t xml:space="preserve">                                                                            </w:t>
      </w:r>
    </w:p>
    <w:p>
      <w:pPr>
        <w:tabs>
          <w:tab w:val="left" w:pos="8300"/>
        </w:tabs>
        <w:autoSpaceDE w:val="0"/>
        <w:autoSpaceDN w:val="0"/>
        <w:adjustRightInd w:val="0"/>
        <w:spacing w:line="360" w:lineRule="auto"/>
        <w:ind w:firstLine="420" w:firstLineChars="200"/>
        <w:jc w:val="right"/>
        <w:rPr>
          <w:rFonts w:ascii="宋体" w:hAnsi="宋体"/>
          <w:snapToGrid w:val="0"/>
          <w:kern w:val="0"/>
          <w:sz w:val="20"/>
          <w:szCs w:val="20"/>
        </w:rPr>
      </w:pPr>
      <w:r>
        <w:rPr>
          <w:rFonts w:ascii="宋体" w:hAnsi="宋体"/>
          <w:kern w:val="0"/>
          <w:szCs w:val="21"/>
          <w:u w:val="single"/>
        </w:rPr>
        <w:t xml:space="preserve">    </w:t>
      </w:r>
      <w:r>
        <w:rPr>
          <w:rFonts w:ascii="宋体" w:hAnsi="宋体"/>
          <w:kern w:val="0"/>
          <w:szCs w:val="21"/>
        </w:rPr>
        <w:t>年</w:t>
      </w:r>
      <w:r>
        <w:rPr>
          <w:rFonts w:ascii="宋体" w:hAnsi="宋体"/>
          <w:kern w:val="0"/>
          <w:szCs w:val="21"/>
          <w:u w:val="single"/>
        </w:rPr>
        <w:t xml:space="preserve">    </w:t>
      </w:r>
      <w:r>
        <w:rPr>
          <w:rFonts w:ascii="宋体" w:hAnsi="宋体"/>
          <w:kern w:val="0"/>
          <w:szCs w:val="21"/>
        </w:rPr>
        <w:t>月</w:t>
      </w:r>
      <w:r>
        <w:rPr>
          <w:rFonts w:ascii="宋体" w:hAnsi="宋体"/>
          <w:kern w:val="0"/>
          <w:szCs w:val="21"/>
          <w:u w:val="single"/>
        </w:rPr>
        <w:t xml:space="preserve">    </w:t>
      </w:r>
      <w:r>
        <w:rPr>
          <w:rFonts w:ascii="宋体" w:hAnsi="宋体"/>
          <w:kern w:val="0"/>
          <w:szCs w:val="21"/>
        </w:rPr>
        <w:t>日</w:t>
      </w:r>
    </w:p>
    <w:bookmarkEnd w:id="752"/>
    <w:p>
      <w:pPr>
        <w:pStyle w:val="6"/>
        <w:spacing w:line="288" w:lineRule="auto"/>
        <w:jc w:val="center"/>
        <w:rPr>
          <w:rFonts w:ascii="宋体" w:eastAsia="宋体"/>
          <w:sz w:val="28"/>
        </w:rPr>
      </w:pPr>
      <w:bookmarkStart w:id="753" w:name="_Toc450050391"/>
      <w:bookmarkStart w:id="754" w:name="_Toc54249519"/>
      <w:bookmarkStart w:id="755" w:name="_Toc451342711"/>
      <w:r>
        <w:rPr>
          <w:rFonts w:hint="eastAsia" w:ascii="宋体" w:eastAsia="宋体"/>
          <w:sz w:val="28"/>
        </w:rPr>
        <w:t>（二） 竞标函附录</w:t>
      </w:r>
      <w:bookmarkEnd w:id="753"/>
      <w:bookmarkEnd w:id="754"/>
      <w:bookmarkEnd w:id="755"/>
    </w:p>
    <w:p>
      <w:pPr>
        <w:tabs>
          <w:tab w:val="left" w:pos="6000"/>
          <w:tab w:val="left" w:pos="7040"/>
          <w:tab w:val="left" w:pos="8100"/>
        </w:tabs>
        <w:autoSpaceDE w:val="0"/>
        <w:autoSpaceDN w:val="0"/>
        <w:adjustRightInd w:val="0"/>
        <w:spacing w:line="288" w:lineRule="auto"/>
        <w:ind w:right="-20" w:firstLine="4924" w:firstLineChars="2345"/>
        <w:jc w:val="left"/>
        <w:rPr>
          <w:rFonts w:ascii="宋体" w:hAnsi="宋体" w:cs="MingLiU"/>
          <w:snapToGrid w:val="0"/>
          <w:kern w:val="0"/>
          <w:szCs w:val="21"/>
        </w:rPr>
      </w:pPr>
    </w:p>
    <w:p>
      <w:pPr>
        <w:tabs>
          <w:tab w:val="left" w:pos="6000"/>
          <w:tab w:val="left" w:pos="7040"/>
          <w:tab w:val="left" w:pos="8100"/>
        </w:tabs>
        <w:autoSpaceDE w:val="0"/>
        <w:autoSpaceDN w:val="0"/>
        <w:adjustRightInd w:val="0"/>
        <w:spacing w:line="288" w:lineRule="auto"/>
        <w:ind w:right="-20" w:firstLine="4924" w:firstLineChars="2345"/>
        <w:jc w:val="left"/>
        <w:rPr>
          <w:rFonts w:ascii="宋体" w:hAnsi="宋体" w:cs="MingLiU"/>
          <w:snapToGrid w:val="0"/>
          <w:kern w:val="0"/>
          <w:szCs w:val="21"/>
        </w:rPr>
      </w:pPr>
    </w:p>
    <w:tbl>
      <w:tblPr>
        <w:tblStyle w:val="49"/>
        <w:tblW w:w="8568" w:type="dxa"/>
        <w:tblInd w:w="112" w:type="dxa"/>
        <w:tblLayout w:type="fixed"/>
        <w:tblCellMar>
          <w:top w:w="0" w:type="dxa"/>
          <w:left w:w="0" w:type="dxa"/>
          <w:bottom w:w="0" w:type="dxa"/>
          <w:right w:w="0" w:type="dxa"/>
        </w:tblCellMar>
      </w:tblPr>
      <w:tblGrid>
        <w:gridCol w:w="651"/>
        <w:gridCol w:w="2336"/>
        <w:gridCol w:w="2161"/>
        <w:gridCol w:w="2703"/>
        <w:gridCol w:w="717"/>
      </w:tblGrid>
      <w:tr>
        <w:tblPrEx>
          <w:tblLayout w:type="fixed"/>
          <w:tblCellMar>
            <w:top w:w="0" w:type="dxa"/>
            <w:left w:w="0" w:type="dxa"/>
            <w:bottom w:w="0" w:type="dxa"/>
            <w:right w:w="0" w:type="dxa"/>
          </w:tblCellMar>
        </w:tblPrEx>
        <w:trPr>
          <w:trHeight w:val="450" w:hRule="exact"/>
        </w:trPr>
        <w:tc>
          <w:tcPr>
            <w:tcW w:w="651" w:type="dxa"/>
            <w:tcBorders>
              <w:top w:val="single" w:color="000000" w:sz="4" w:space="0"/>
              <w:left w:val="single" w:color="000000" w:sz="4" w:space="0"/>
              <w:bottom w:val="single" w:color="000000" w:sz="6" w:space="0"/>
              <w:right w:val="single" w:color="000000" w:sz="6" w:space="0"/>
            </w:tcBorders>
          </w:tcPr>
          <w:p>
            <w:pPr>
              <w:autoSpaceDE w:val="0"/>
              <w:autoSpaceDN w:val="0"/>
              <w:adjustRightInd w:val="0"/>
              <w:spacing w:before="73" w:line="288" w:lineRule="auto"/>
              <w:ind w:left="109" w:right="-20"/>
              <w:jc w:val="left"/>
              <w:rPr>
                <w:rFonts w:ascii="宋体" w:hAnsi="宋体"/>
                <w:snapToGrid w:val="0"/>
                <w:kern w:val="0"/>
                <w:szCs w:val="21"/>
              </w:rPr>
            </w:pPr>
            <w:r>
              <w:rPr>
                <w:rFonts w:hint="eastAsia" w:ascii="宋体" w:hAnsi="宋体" w:cs="MingLiU"/>
                <w:snapToGrid w:val="0"/>
                <w:kern w:val="0"/>
                <w:szCs w:val="21"/>
              </w:rPr>
              <w:t>序号</w:t>
            </w:r>
          </w:p>
        </w:tc>
        <w:tc>
          <w:tcPr>
            <w:tcW w:w="2336" w:type="dxa"/>
            <w:tcBorders>
              <w:top w:val="single" w:color="000000" w:sz="4" w:space="0"/>
              <w:left w:val="single" w:color="000000" w:sz="6" w:space="0"/>
              <w:bottom w:val="single" w:color="000000" w:sz="6" w:space="0"/>
              <w:right w:val="single" w:color="000000" w:sz="6" w:space="0"/>
            </w:tcBorders>
          </w:tcPr>
          <w:p>
            <w:pPr>
              <w:autoSpaceDE w:val="0"/>
              <w:autoSpaceDN w:val="0"/>
              <w:adjustRightInd w:val="0"/>
              <w:spacing w:before="73" w:line="288" w:lineRule="auto"/>
              <w:ind w:left="741" w:right="-20"/>
              <w:jc w:val="left"/>
              <w:rPr>
                <w:rFonts w:ascii="宋体" w:hAnsi="宋体"/>
                <w:snapToGrid w:val="0"/>
                <w:kern w:val="0"/>
                <w:szCs w:val="21"/>
              </w:rPr>
            </w:pPr>
            <w:r>
              <w:rPr>
                <w:rFonts w:hint="eastAsia" w:ascii="宋体" w:hAnsi="宋体" w:cs="MingLiU"/>
                <w:snapToGrid w:val="0"/>
                <w:kern w:val="0"/>
                <w:szCs w:val="21"/>
              </w:rPr>
              <w:t>条款名称</w:t>
            </w:r>
          </w:p>
        </w:tc>
        <w:tc>
          <w:tcPr>
            <w:tcW w:w="2161" w:type="dxa"/>
            <w:tcBorders>
              <w:top w:val="single" w:color="000000" w:sz="4" w:space="0"/>
              <w:left w:val="single" w:color="000000" w:sz="6" w:space="0"/>
              <w:bottom w:val="single" w:color="000000" w:sz="6" w:space="0"/>
              <w:right w:val="single" w:color="000000" w:sz="6" w:space="0"/>
            </w:tcBorders>
          </w:tcPr>
          <w:p>
            <w:pPr>
              <w:autoSpaceDE w:val="0"/>
              <w:autoSpaceDN w:val="0"/>
              <w:adjustRightInd w:val="0"/>
              <w:spacing w:before="73" w:line="288" w:lineRule="auto"/>
              <w:ind w:left="548" w:right="-20"/>
              <w:jc w:val="left"/>
              <w:rPr>
                <w:rFonts w:ascii="宋体" w:hAnsi="宋体"/>
                <w:snapToGrid w:val="0"/>
                <w:kern w:val="0"/>
                <w:szCs w:val="21"/>
              </w:rPr>
            </w:pPr>
            <w:r>
              <w:rPr>
                <w:rFonts w:hint="eastAsia" w:ascii="宋体" w:hAnsi="宋体" w:cs="MingLiU"/>
                <w:snapToGrid w:val="0"/>
                <w:kern w:val="0"/>
                <w:szCs w:val="21"/>
              </w:rPr>
              <w:t>合同条款号</w:t>
            </w:r>
          </w:p>
        </w:tc>
        <w:tc>
          <w:tcPr>
            <w:tcW w:w="2703" w:type="dxa"/>
            <w:tcBorders>
              <w:top w:val="single" w:color="000000" w:sz="4" w:space="0"/>
              <w:left w:val="single" w:color="000000" w:sz="6" w:space="0"/>
              <w:bottom w:val="single" w:color="000000" w:sz="6" w:space="0"/>
              <w:right w:val="single" w:color="000000" w:sz="6" w:space="0"/>
            </w:tcBorders>
          </w:tcPr>
          <w:p>
            <w:pPr>
              <w:autoSpaceDE w:val="0"/>
              <w:autoSpaceDN w:val="0"/>
              <w:adjustRightInd w:val="0"/>
              <w:spacing w:before="73" w:line="288" w:lineRule="auto"/>
              <w:ind w:left="914" w:right="894"/>
              <w:jc w:val="center"/>
              <w:rPr>
                <w:rFonts w:ascii="宋体" w:hAnsi="宋体"/>
                <w:snapToGrid w:val="0"/>
                <w:kern w:val="0"/>
                <w:szCs w:val="21"/>
              </w:rPr>
            </w:pPr>
            <w:r>
              <w:rPr>
                <w:rFonts w:hint="eastAsia" w:ascii="宋体" w:hAnsi="宋体" w:cs="MingLiU"/>
                <w:snapToGrid w:val="0"/>
                <w:kern w:val="0"/>
                <w:szCs w:val="21"/>
              </w:rPr>
              <w:t>约定内容</w:t>
            </w:r>
          </w:p>
        </w:tc>
        <w:tc>
          <w:tcPr>
            <w:tcW w:w="717" w:type="dxa"/>
            <w:tcBorders>
              <w:top w:val="single" w:color="000000" w:sz="4" w:space="0"/>
              <w:left w:val="single" w:color="000000" w:sz="6" w:space="0"/>
              <w:bottom w:val="single" w:color="000000" w:sz="6" w:space="0"/>
              <w:right w:val="single" w:color="000000" w:sz="4" w:space="0"/>
            </w:tcBorders>
          </w:tcPr>
          <w:p>
            <w:pPr>
              <w:autoSpaceDE w:val="0"/>
              <w:autoSpaceDN w:val="0"/>
              <w:adjustRightInd w:val="0"/>
              <w:spacing w:before="73" w:line="288" w:lineRule="auto"/>
              <w:ind w:left="143" w:right="-20"/>
              <w:jc w:val="left"/>
              <w:rPr>
                <w:rFonts w:ascii="宋体" w:hAnsi="宋体"/>
                <w:snapToGrid w:val="0"/>
                <w:kern w:val="0"/>
                <w:szCs w:val="21"/>
              </w:rPr>
            </w:pPr>
            <w:r>
              <w:rPr>
                <w:rFonts w:hint="eastAsia" w:ascii="宋体" w:hAnsi="宋体" w:cs="MingLiU"/>
                <w:snapToGrid w:val="0"/>
                <w:kern w:val="0"/>
                <w:szCs w:val="21"/>
              </w:rPr>
              <w:t>备注</w:t>
            </w:r>
          </w:p>
        </w:tc>
      </w:tr>
      <w:tr>
        <w:tblPrEx>
          <w:tblLayout w:type="fixed"/>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adjustRightInd w:val="0"/>
              <w:spacing w:line="288" w:lineRule="auto"/>
              <w:jc w:val="left"/>
              <w:rPr>
                <w:rFonts w:ascii="宋体" w:hAnsi="宋体"/>
                <w:snapToGrid w:val="0"/>
                <w:kern w:val="0"/>
                <w:szCs w:val="21"/>
              </w:rPr>
            </w:pPr>
          </w:p>
          <w:p>
            <w:pPr>
              <w:autoSpaceDE w:val="0"/>
              <w:autoSpaceDN w:val="0"/>
              <w:adjustRightInd w:val="0"/>
              <w:spacing w:line="288" w:lineRule="auto"/>
              <w:ind w:left="266" w:right="246"/>
              <w:jc w:val="center"/>
              <w:rPr>
                <w:rFonts w:ascii="宋体" w:hAnsi="宋体"/>
                <w:snapToGrid w:val="0"/>
                <w:kern w:val="0"/>
                <w:szCs w:val="21"/>
              </w:rPr>
            </w:pPr>
            <w:r>
              <w:rPr>
                <w:rFonts w:hint="eastAsia" w:ascii="宋体" w:hAnsi="宋体"/>
                <w:snapToGrid w:val="0"/>
                <w:kern w:val="0"/>
                <w:szCs w:val="21"/>
              </w:rPr>
              <w:t>1</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73" w:line="288" w:lineRule="auto"/>
              <w:ind w:left="744" w:right="-20"/>
              <w:jc w:val="left"/>
              <w:rPr>
                <w:rFonts w:ascii="宋体" w:hAnsi="宋体"/>
                <w:snapToGrid w:val="0"/>
                <w:kern w:val="0"/>
                <w:szCs w:val="21"/>
              </w:rPr>
            </w:pPr>
            <w:r>
              <w:rPr>
                <w:rFonts w:hint="eastAsia" w:ascii="宋体" w:hAnsi="宋体" w:cs="MingLiU"/>
                <w:snapToGrid w:val="0"/>
                <w:kern w:val="0"/>
                <w:szCs w:val="21"/>
              </w:rPr>
              <w:t>项目经理</w:t>
            </w:r>
          </w:p>
        </w:tc>
        <w:tc>
          <w:tcPr>
            <w:tcW w:w="2161"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288" w:lineRule="auto"/>
              <w:ind w:left="160" w:leftChars="76" w:right="880"/>
              <w:jc w:val="center"/>
              <w:rPr>
                <w:rFonts w:ascii="宋体" w:hAnsi="宋体"/>
                <w:snapToGrid w:val="0"/>
                <w:kern w:val="0"/>
                <w:szCs w:val="21"/>
              </w:rPr>
            </w:pPr>
            <w:r>
              <w:rPr>
                <w:rFonts w:hint="eastAsia" w:ascii="宋体" w:hAnsi="宋体"/>
                <w:snapToGrid w:val="0"/>
                <w:kern w:val="0"/>
                <w:szCs w:val="21"/>
              </w:rPr>
              <w:t>1.1.2.4</w:t>
            </w:r>
          </w:p>
        </w:tc>
        <w:tc>
          <w:tcPr>
            <w:tcW w:w="2703" w:type="dxa"/>
            <w:tcBorders>
              <w:top w:val="single" w:color="000000" w:sz="6" w:space="0"/>
              <w:left w:val="single" w:color="000000" w:sz="6" w:space="0"/>
              <w:bottom w:val="single" w:color="000000" w:sz="6" w:space="0"/>
              <w:right w:val="single" w:color="000000" w:sz="6" w:space="0"/>
            </w:tcBorders>
          </w:tcPr>
          <w:p>
            <w:pPr>
              <w:tabs>
                <w:tab w:val="left" w:pos="1880"/>
              </w:tabs>
              <w:autoSpaceDE w:val="0"/>
              <w:autoSpaceDN w:val="0"/>
              <w:adjustRightInd w:val="0"/>
              <w:spacing w:before="73" w:line="288" w:lineRule="auto"/>
              <w:ind w:left="103" w:right="-20"/>
              <w:jc w:val="left"/>
              <w:rPr>
                <w:rFonts w:ascii="宋体" w:hAnsi="宋体"/>
                <w:snapToGrid w:val="0"/>
                <w:kern w:val="0"/>
                <w:szCs w:val="21"/>
              </w:rPr>
            </w:pPr>
            <w:r>
              <w:rPr>
                <w:rFonts w:hint="eastAsia" w:ascii="宋体" w:hAnsi="宋体" w:cs="MingLiU"/>
                <w:snapToGrid w:val="0"/>
                <w:kern w:val="0"/>
                <w:szCs w:val="21"/>
              </w:rPr>
              <w:t>姓名：</w:t>
            </w:r>
            <w:r>
              <w:rPr>
                <w:rFonts w:hint="eastAsia" w:ascii="宋体" w:hAnsi="宋体" w:cs="MingLiU"/>
                <w:snapToGrid w:val="0"/>
                <w:w w:val="200"/>
                <w:kern w:val="0"/>
                <w:szCs w:val="21"/>
                <w:u w:val="single"/>
              </w:rPr>
              <w:t xml:space="preserve"> </w:t>
            </w:r>
            <w:r>
              <w:rPr>
                <w:rFonts w:hint="eastAsia" w:ascii="宋体" w:hAnsi="宋体"/>
                <w:snapToGrid w:val="0"/>
                <w:kern w:val="0"/>
                <w:szCs w:val="21"/>
                <w:u w:val="single"/>
              </w:rPr>
              <w:tab/>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spacing w:line="288" w:lineRule="auto"/>
              <w:jc w:val="left"/>
              <w:rPr>
                <w:rFonts w:ascii="宋体" w:hAnsi="宋体"/>
                <w:snapToGrid w:val="0"/>
                <w:kern w:val="0"/>
                <w:szCs w:val="21"/>
              </w:rPr>
            </w:pPr>
          </w:p>
        </w:tc>
      </w:tr>
      <w:tr>
        <w:tblPrEx>
          <w:tblLayout w:type="fixed"/>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adjustRightInd w:val="0"/>
              <w:spacing w:line="288" w:lineRule="auto"/>
              <w:jc w:val="left"/>
              <w:rPr>
                <w:rFonts w:ascii="宋体" w:hAnsi="宋体"/>
                <w:snapToGrid w:val="0"/>
                <w:kern w:val="0"/>
                <w:szCs w:val="21"/>
              </w:rPr>
            </w:pPr>
          </w:p>
          <w:p>
            <w:pPr>
              <w:autoSpaceDE w:val="0"/>
              <w:autoSpaceDN w:val="0"/>
              <w:adjustRightInd w:val="0"/>
              <w:spacing w:line="288" w:lineRule="auto"/>
              <w:ind w:left="266" w:right="246"/>
              <w:jc w:val="center"/>
              <w:rPr>
                <w:rFonts w:ascii="宋体" w:hAnsi="宋体"/>
                <w:snapToGrid w:val="0"/>
                <w:kern w:val="0"/>
                <w:szCs w:val="21"/>
              </w:rPr>
            </w:pPr>
            <w:r>
              <w:rPr>
                <w:rFonts w:hint="eastAsia" w:ascii="宋体" w:hAnsi="宋体"/>
                <w:snapToGrid w:val="0"/>
                <w:kern w:val="0"/>
                <w:szCs w:val="21"/>
              </w:rPr>
              <w:t>2</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73" w:line="288" w:lineRule="auto"/>
              <w:ind w:left="949" w:right="928"/>
              <w:jc w:val="center"/>
              <w:rPr>
                <w:rFonts w:ascii="宋体" w:hAnsi="宋体"/>
                <w:snapToGrid w:val="0"/>
                <w:kern w:val="0"/>
                <w:szCs w:val="21"/>
              </w:rPr>
            </w:pPr>
            <w:r>
              <w:rPr>
                <w:rFonts w:hint="eastAsia" w:ascii="宋体" w:hAnsi="宋体" w:cs="MingLiU"/>
                <w:snapToGrid w:val="0"/>
                <w:kern w:val="0"/>
                <w:szCs w:val="21"/>
              </w:rPr>
              <w:t>工期</w:t>
            </w:r>
          </w:p>
        </w:tc>
        <w:tc>
          <w:tcPr>
            <w:tcW w:w="2161"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288" w:lineRule="auto"/>
              <w:ind w:left="160" w:leftChars="76" w:right="880"/>
              <w:jc w:val="center"/>
              <w:rPr>
                <w:rFonts w:ascii="宋体" w:hAnsi="宋体"/>
                <w:snapToGrid w:val="0"/>
                <w:kern w:val="0"/>
                <w:szCs w:val="21"/>
              </w:rPr>
            </w:pPr>
            <w:r>
              <w:rPr>
                <w:rFonts w:hint="eastAsia" w:ascii="宋体" w:hAnsi="宋体"/>
                <w:snapToGrid w:val="0"/>
                <w:kern w:val="0"/>
                <w:szCs w:val="21"/>
              </w:rPr>
              <w:t>1.1.4.3</w:t>
            </w:r>
          </w:p>
        </w:tc>
        <w:tc>
          <w:tcPr>
            <w:tcW w:w="2703" w:type="dxa"/>
            <w:tcBorders>
              <w:top w:val="single" w:color="000000" w:sz="6" w:space="0"/>
              <w:left w:val="single" w:color="000000" w:sz="6" w:space="0"/>
              <w:bottom w:val="single" w:color="000000" w:sz="6" w:space="0"/>
              <w:right w:val="single" w:color="000000" w:sz="6" w:space="0"/>
            </w:tcBorders>
          </w:tcPr>
          <w:p>
            <w:pPr>
              <w:tabs>
                <w:tab w:val="left" w:pos="1560"/>
              </w:tabs>
              <w:autoSpaceDE w:val="0"/>
              <w:autoSpaceDN w:val="0"/>
              <w:adjustRightInd w:val="0"/>
              <w:spacing w:before="73" w:line="288" w:lineRule="auto"/>
              <w:ind w:left="103" w:right="-20"/>
              <w:jc w:val="left"/>
              <w:rPr>
                <w:rFonts w:ascii="宋体" w:hAnsi="宋体"/>
                <w:snapToGrid w:val="0"/>
                <w:kern w:val="0"/>
                <w:szCs w:val="21"/>
              </w:rPr>
            </w:pPr>
            <w:r>
              <w:rPr>
                <w:rFonts w:hint="eastAsia" w:ascii="宋体" w:hAnsi="宋体" w:cs="MingLiU"/>
                <w:snapToGrid w:val="0"/>
                <w:kern w:val="0"/>
                <w:szCs w:val="21"/>
              </w:rPr>
              <w:t>天数：</w:t>
            </w:r>
            <w:r>
              <w:rPr>
                <w:rFonts w:hint="eastAsia" w:ascii="宋体" w:hAnsi="宋体" w:cs="MingLiU"/>
                <w:snapToGrid w:val="0"/>
                <w:w w:val="200"/>
                <w:kern w:val="0"/>
                <w:szCs w:val="21"/>
                <w:u w:val="single"/>
              </w:rPr>
              <w:t xml:space="preserve"> </w:t>
            </w:r>
            <w:r>
              <w:rPr>
                <w:rFonts w:hint="eastAsia" w:ascii="宋体" w:hAnsi="宋体"/>
                <w:snapToGrid w:val="0"/>
                <w:kern w:val="0"/>
                <w:szCs w:val="21"/>
                <w:u w:val="single"/>
              </w:rPr>
              <w:tab/>
            </w:r>
            <w:r>
              <w:rPr>
                <w:rFonts w:hint="eastAsia" w:ascii="宋体" w:hAnsi="宋体" w:cs="MingLiU"/>
                <w:snapToGrid w:val="0"/>
                <w:kern w:val="0"/>
                <w:szCs w:val="21"/>
              </w:rPr>
              <w:t>日历天</w:t>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spacing w:line="288" w:lineRule="auto"/>
              <w:jc w:val="left"/>
              <w:rPr>
                <w:rFonts w:ascii="宋体" w:hAnsi="宋体"/>
                <w:snapToGrid w:val="0"/>
                <w:kern w:val="0"/>
                <w:szCs w:val="21"/>
              </w:rPr>
            </w:pPr>
          </w:p>
        </w:tc>
      </w:tr>
      <w:tr>
        <w:tblPrEx>
          <w:tblLayout w:type="fixed"/>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adjustRightInd w:val="0"/>
              <w:spacing w:line="288" w:lineRule="auto"/>
              <w:jc w:val="left"/>
              <w:rPr>
                <w:rFonts w:ascii="宋体" w:hAnsi="宋体"/>
                <w:snapToGrid w:val="0"/>
                <w:kern w:val="0"/>
                <w:szCs w:val="21"/>
              </w:rPr>
            </w:pPr>
          </w:p>
          <w:p>
            <w:pPr>
              <w:autoSpaceDE w:val="0"/>
              <w:autoSpaceDN w:val="0"/>
              <w:adjustRightInd w:val="0"/>
              <w:spacing w:line="288" w:lineRule="auto"/>
              <w:ind w:left="266" w:right="246"/>
              <w:jc w:val="center"/>
              <w:rPr>
                <w:rFonts w:ascii="宋体" w:hAnsi="宋体"/>
                <w:snapToGrid w:val="0"/>
                <w:kern w:val="0"/>
                <w:szCs w:val="21"/>
              </w:rPr>
            </w:pPr>
            <w:r>
              <w:rPr>
                <w:rFonts w:hint="eastAsia" w:ascii="宋体" w:hAnsi="宋体"/>
                <w:snapToGrid w:val="0"/>
                <w:kern w:val="0"/>
                <w:szCs w:val="21"/>
              </w:rPr>
              <w:t>3</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73" w:line="288" w:lineRule="auto"/>
              <w:ind w:left="638" w:right="-20"/>
              <w:jc w:val="left"/>
              <w:rPr>
                <w:rFonts w:ascii="宋体" w:hAnsi="宋体"/>
                <w:snapToGrid w:val="0"/>
                <w:kern w:val="0"/>
                <w:szCs w:val="21"/>
              </w:rPr>
            </w:pPr>
            <w:r>
              <w:rPr>
                <w:rFonts w:hint="eastAsia" w:ascii="宋体" w:hAnsi="宋体" w:cs="MingLiU"/>
                <w:snapToGrid w:val="0"/>
                <w:kern w:val="0"/>
                <w:szCs w:val="21"/>
              </w:rPr>
              <w:t>缺陷责任期</w:t>
            </w:r>
          </w:p>
        </w:tc>
        <w:tc>
          <w:tcPr>
            <w:tcW w:w="2161"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288" w:lineRule="auto"/>
              <w:ind w:left="160" w:leftChars="76" w:right="880"/>
              <w:jc w:val="center"/>
              <w:rPr>
                <w:rFonts w:ascii="宋体" w:hAnsi="宋体"/>
                <w:snapToGrid w:val="0"/>
                <w:kern w:val="0"/>
                <w:szCs w:val="21"/>
              </w:rPr>
            </w:pPr>
            <w:r>
              <w:rPr>
                <w:rFonts w:hint="eastAsia" w:ascii="宋体" w:hAnsi="宋体"/>
                <w:snapToGrid w:val="0"/>
                <w:kern w:val="0"/>
                <w:szCs w:val="21"/>
              </w:rPr>
              <w:t>1.1.4.5</w:t>
            </w:r>
          </w:p>
        </w:tc>
        <w:tc>
          <w:tcPr>
            <w:tcW w:w="270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288" w:lineRule="auto"/>
              <w:jc w:val="center"/>
              <w:rPr>
                <w:rFonts w:ascii="宋体" w:hAnsi="宋体"/>
                <w:snapToGrid w:val="0"/>
                <w:kern w:val="0"/>
                <w:szCs w:val="21"/>
              </w:rPr>
            </w:pPr>
            <w:r>
              <w:rPr>
                <w:rFonts w:hint="eastAsia" w:ascii="宋体" w:hAnsi="宋体"/>
                <w:snapToGrid w:val="0"/>
                <w:kern w:val="0"/>
                <w:szCs w:val="21"/>
              </w:rPr>
              <w:t>24个月</w:t>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spacing w:line="288" w:lineRule="auto"/>
              <w:jc w:val="left"/>
              <w:rPr>
                <w:rFonts w:ascii="宋体" w:hAnsi="宋体"/>
                <w:snapToGrid w:val="0"/>
                <w:kern w:val="0"/>
                <w:szCs w:val="21"/>
              </w:rPr>
            </w:pPr>
          </w:p>
        </w:tc>
      </w:tr>
      <w:tr>
        <w:tblPrEx>
          <w:tblLayout w:type="fixed"/>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adjustRightInd w:val="0"/>
              <w:spacing w:line="288" w:lineRule="auto"/>
              <w:jc w:val="left"/>
              <w:rPr>
                <w:rFonts w:ascii="宋体" w:hAnsi="宋体"/>
                <w:snapToGrid w:val="0"/>
                <w:kern w:val="0"/>
                <w:szCs w:val="21"/>
              </w:rPr>
            </w:pPr>
          </w:p>
          <w:p>
            <w:pPr>
              <w:autoSpaceDE w:val="0"/>
              <w:autoSpaceDN w:val="0"/>
              <w:adjustRightInd w:val="0"/>
              <w:spacing w:line="288" w:lineRule="auto"/>
              <w:ind w:left="266" w:right="246"/>
              <w:jc w:val="center"/>
              <w:rPr>
                <w:rFonts w:ascii="宋体" w:hAnsi="宋体"/>
                <w:snapToGrid w:val="0"/>
                <w:kern w:val="0"/>
                <w:szCs w:val="21"/>
              </w:rPr>
            </w:pPr>
            <w:r>
              <w:rPr>
                <w:rFonts w:hint="eastAsia" w:ascii="宋体" w:hAnsi="宋体"/>
                <w:snapToGrid w:val="0"/>
                <w:kern w:val="0"/>
                <w:szCs w:val="21"/>
              </w:rPr>
              <w:t>4</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73" w:line="288" w:lineRule="auto"/>
              <w:ind w:left="949" w:right="928"/>
              <w:jc w:val="center"/>
              <w:rPr>
                <w:rFonts w:ascii="宋体" w:hAnsi="宋体"/>
                <w:snapToGrid w:val="0"/>
                <w:kern w:val="0"/>
                <w:szCs w:val="21"/>
              </w:rPr>
            </w:pPr>
            <w:r>
              <w:rPr>
                <w:rFonts w:hint="eastAsia" w:ascii="宋体" w:hAnsi="宋体" w:cs="MingLiU"/>
                <w:snapToGrid w:val="0"/>
                <w:kern w:val="0"/>
                <w:szCs w:val="21"/>
              </w:rPr>
              <w:t>分包</w:t>
            </w:r>
          </w:p>
        </w:tc>
        <w:tc>
          <w:tcPr>
            <w:tcW w:w="2161"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288" w:lineRule="auto"/>
              <w:ind w:left="160" w:leftChars="76" w:right="880"/>
              <w:jc w:val="center"/>
              <w:rPr>
                <w:rFonts w:ascii="宋体" w:hAnsi="宋体"/>
                <w:snapToGrid w:val="0"/>
                <w:kern w:val="0"/>
                <w:szCs w:val="21"/>
              </w:rPr>
            </w:pPr>
            <w:r>
              <w:rPr>
                <w:rFonts w:hint="eastAsia" w:ascii="宋体" w:hAnsi="宋体"/>
                <w:snapToGrid w:val="0"/>
                <w:kern w:val="0"/>
                <w:szCs w:val="21"/>
              </w:rPr>
              <w:t>4.3</w:t>
            </w:r>
          </w:p>
        </w:tc>
        <w:tc>
          <w:tcPr>
            <w:tcW w:w="2703"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288" w:lineRule="auto"/>
              <w:jc w:val="center"/>
              <w:rPr>
                <w:rFonts w:ascii="宋体" w:hAnsi="宋体"/>
                <w:snapToGrid w:val="0"/>
                <w:kern w:val="0"/>
                <w:szCs w:val="21"/>
              </w:rPr>
            </w:pPr>
            <w:r>
              <w:rPr>
                <w:rFonts w:hint="eastAsia" w:ascii="宋体" w:hAnsi="宋体"/>
                <w:snapToGrid w:val="0"/>
                <w:kern w:val="0"/>
                <w:szCs w:val="21"/>
              </w:rPr>
              <w:t>不允许</w:t>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spacing w:line="288" w:lineRule="auto"/>
              <w:jc w:val="left"/>
              <w:rPr>
                <w:rFonts w:ascii="宋体" w:hAnsi="宋体"/>
                <w:snapToGrid w:val="0"/>
                <w:kern w:val="0"/>
                <w:szCs w:val="21"/>
              </w:rPr>
            </w:pPr>
          </w:p>
        </w:tc>
      </w:tr>
      <w:tr>
        <w:tblPrEx>
          <w:tblLayout w:type="fixed"/>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vAlign w:val="center"/>
          </w:tcPr>
          <w:p>
            <w:pPr>
              <w:tabs>
                <w:tab w:val="left" w:pos="2051"/>
              </w:tabs>
              <w:autoSpaceDE w:val="0"/>
              <w:autoSpaceDN w:val="0"/>
              <w:adjustRightInd w:val="0"/>
              <w:spacing w:line="288" w:lineRule="auto"/>
              <w:ind w:left="160" w:leftChars="76" w:right="880"/>
              <w:jc w:val="center"/>
              <w:rPr>
                <w:rFonts w:ascii="宋体" w:hAnsi="宋体"/>
                <w:snapToGrid w:val="0"/>
                <w:kern w:val="0"/>
                <w:szCs w:val="21"/>
              </w:rPr>
            </w:pPr>
            <w:r>
              <w:rPr>
                <w:rFonts w:hint="eastAsia" w:ascii="宋体" w:hAnsi="宋体"/>
                <w:snapToGrid w:val="0"/>
                <w:kern w:val="0"/>
                <w:szCs w:val="21"/>
              </w:rPr>
              <w:t>…</w:t>
            </w:r>
          </w:p>
        </w:tc>
        <w:tc>
          <w:tcPr>
            <w:tcW w:w="2336"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288" w:lineRule="auto"/>
              <w:ind w:left="160" w:leftChars="76" w:right="880"/>
              <w:jc w:val="center"/>
              <w:rPr>
                <w:rFonts w:ascii="宋体" w:hAnsi="宋体"/>
                <w:snapToGrid w:val="0"/>
                <w:kern w:val="0"/>
                <w:szCs w:val="21"/>
              </w:rPr>
            </w:pPr>
            <w:r>
              <w:rPr>
                <w:rFonts w:hint="eastAsia" w:ascii="宋体" w:hAnsi="宋体"/>
                <w:snapToGrid w:val="0"/>
                <w:kern w:val="0"/>
                <w:szCs w:val="21"/>
              </w:rPr>
              <w:t>……</w:t>
            </w:r>
          </w:p>
        </w:tc>
        <w:tc>
          <w:tcPr>
            <w:tcW w:w="2161"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288" w:lineRule="auto"/>
              <w:ind w:left="160" w:leftChars="76" w:right="880"/>
              <w:jc w:val="center"/>
              <w:rPr>
                <w:rFonts w:ascii="宋体" w:hAnsi="宋体"/>
                <w:snapToGrid w:val="0"/>
                <w:kern w:val="0"/>
                <w:szCs w:val="21"/>
              </w:rPr>
            </w:pPr>
            <w:r>
              <w:rPr>
                <w:rFonts w:hint="eastAsia" w:ascii="宋体" w:hAnsi="宋体"/>
                <w:snapToGrid w:val="0"/>
                <w:kern w:val="0"/>
                <w:szCs w:val="21"/>
              </w:rPr>
              <w:t>……</w:t>
            </w:r>
          </w:p>
        </w:tc>
        <w:tc>
          <w:tcPr>
            <w:tcW w:w="2703"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288" w:lineRule="auto"/>
              <w:ind w:left="160" w:leftChars="76" w:right="880"/>
              <w:jc w:val="center"/>
              <w:rPr>
                <w:rFonts w:ascii="宋体" w:hAnsi="宋体"/>
                <w:snapToGrid w:val="0"/>
                <w:kern w:val="0"/>
                <w:szCs w:val="21"/>
              </w:rPr>
            </w:pPr>
            <w:r>
              <w:rPr>
                <w:rFonts w:hint="eastAsia" w:ascii="宋体" w:hAnsi="宋体"/>
                <w:snapToGrid w:val="0"/>
                <w:kern w:val="0"/>
                <w:szCs w:val="21"/>
              </w:rPr>
              <w:t>……</w:t>
            </w:r>
          </w:p>
        </w:tc>
        <w:tc>
          <w:tcPr>
            <w:tcW w:w="717" w:type="dxa"/>
            <w:tcBorders>
              <w:top w:val="single" w:color="000000" w:sz="6" w:space="0"/>
              <w:left w:val="single" w:color="000000" w:sz="6" w:space="0"/>
              <w:bottom w:val="single" w:color="000000" w:sz="6" w:space="0"/>
              <w:right w:val="single" w:color="000000" w:sz="4" w:space="0"/>
            </w:tcBorders>
            <w:vAlign w:val="center"/>
          </w:tcPr>
          <w:p>
            <w:pPr>
              <w:autoSpaceDE w:val="0"/>
              <w:autoSpaceDN w:val="0"/>
              <w:adjustRightInd w:val="0"/>
              <w:spacing w:line="288" w:lineRule="auto"/>
              <w:jc w:val="center"/>
              <w:rPr>
                <w:rFonts w:ascii="宋体" w:hAnsi="宋体"/>
                <w:snapToGrid w:val="0"/>
                <w:kern w:val="0"/>
                <w:szCs w:val="21"/>
              </w:rPr>
            </w:pPr>
          </w:p>
        </w:tc>
      </w:tr>
      <w:tr>
        <w:tblPrEx>
          <w:tblLayout w:type="fixed"/>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vAlign w:val="center"/>
          </w:tcPr>
          <w:p>
            <w:pPr>
              <w:tabs>
                <w:tab w:val="left" w:pos="2051"/>
              </w:tabs>
              <w:autoSpaceDE w:val="0"/>
              <w:autoSpaceDN w:val="0"/>
              <w:adjustRightInd w:val="0"/>
              <w:spacing w:line="288" w:lineRule="auto"/>
              <w:ind w:left="160" w:leftChars="76" w:right="880"/>
              <w:jc w:val="center"/>
              <w:rPr>
                <w:rFonts w:ascii="宋体" w:hAnsi="宋体"/>
                <w:snapToGrid w:val="0"/>
                <w:kern w:val="0"/>
                <w:szCs w:val="21"/>
              </w:rPr>
            </w:pPr>
            <w:r>
              <w:rPr>
                <w:rFonts w:hint="eastAsia" w:ascii="宋体" w:hAnsi="宋体"/>
                <w:snapToGrid w:val="0"/>
                <w:kern w:val="0"/>
                <w:szCs w:val="21"/>
              </w:rPr>
              <w:t>…</w:t>
            </w:r>
          </w:p>
        </w:tc>
        <w:tc>
          <w:tcPr>
            <w:tcW w:w="2336"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288" w:lineRule="auto"/>
              <w:ind w:left="160" w:leftChars="76" w:right="880"/>
              <w:jc w:val="center"/>
              <w:rPr>
                <w:rFonts w:ascii="宋体" w:hAnsi="宋体"/>
                <w:snapToGrid w:val="0"/>
                <w:kern w:val="0"/>
                <w:szCs w:val="21"/>
              </w:rPr>
            </w:pPr>
            <w:r>
              <w:rPr>
                <w:rFonts w:hint="eastAsia" w:ascii="宋体" w:hAnsi="宋体"/>
                <w:snapToGrid w:val="0"/>
                <w:kern w:val="0"/>
                <w:szCs w:val="21"/>
              </w:rPr>
              <w:t>……</w:t>
            </w:r>
          </w:p>
        </w:tc>
        <w:tc>
          <w:tcPr>
            <w:tcW w:w="2161"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288" w:lineRule="auto"/>
              <w:ind w:left="160" w:leftChars="76" w:right="880"/>
              <w:jc w:val="center"/>
              <w:rPr>
                <w:rFonts w:ascii="宋体" w:hAnsi="宋体"/>
                <w:snapToGrid w:val="0"/>
                <w:kern w:val="0"/>
                <w:szCs w:val="21"/>
              </w:rPr>
            </w:pPr>
            <w:r>
              <w:rPr>
                <w:rFonts w:hint="eastAsia" w:ascii="宋体" w:hAnsi="宋体"/>
                <w:snapToGrid w:val="0"/>
                <w:kern w:val="0"/>
                <w:szCs w:val="21"/>
              </w:rPr>
              <w:t>……</w:t>
            </w:r>
          </w:p>
        </w:tc>
        <w:tc>
          <w:tcPr>
            <w:tcW w:w="2703"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288" w:lineRule="auto"/>
              <w:ind w:left="160" w:leftChars="76" w:right="880"/>
              <w:jc w:val="center"/>
              <w:rPr>
                <w:rFonts w:ascii="宋体" w:hAnsi="宋体"/>
                <w:snapToGrid w:val="0"/>
                <w:kern w:val="0"/>
                <w:szCs w:val="21"/>
              </w:rPr>
            </w:pPr>
            <w:r>
              <w:rPr>
                <w:rFonts w:hint="eastAsia" w:ascii="宋体" w:hAnsi="宋体"/>
                <w:snapToGrid w:val="0"/>
                <w:kern w:val="0"/>
                <w:szCs w:val="21"/>
              </w:rPr>
              <w:t>……</w:t>
            </w:r>
          </w:p>
        </w:tc>
        <w:tc>
          <w:tcPr>
            <w:tcW w:w="717" w:type="dxa"/>
            <w:tcBorders>
              <w:top w:val="single" w:color="000000" w:sz="6" w:space="0"/>
              <w:left w:val="single" w:color="000000" w:sz="6" w:space="0"/>
              <w:bottom w:val="single" w:color="000000" w:sz="6" w:space="0"/>
              <w:right w:val="single" w:color="000000" w:sz="4" w:space="0"/>
            </w:tcBorders>
            <w:vAlign w:val="center"/>
          </w:tcPr>
          <w:p>
            <w:pPr>
              <w:autoSpaceDE w:val="0"/>
              <w:autoSpaceDN w:val="0"/>
              <w:adjustRightInd w:val="0"/>
              <w:spacing w:line="288" w:lineRule="auto"/>
              <w:jc w:val="center"/>
              <w:rPr>
                <w:rFonts w:ascii="宋体" w:hAnsi="宋体"/>
                <w:snapToGrid w:val="0"/>
                <w:kern w:val="0"/>
                <w:szCs w:val="21"/>
              </w:rPr>
            </w:pPr>
          </w:p>
        </w:tc>
      </w:tr>
    </w:tbl>
    <w:p>
      <w:pPr>
        <w:widowControl/>
        <w:spacing w:line="288" w:lineRule="auto"/>
        <w:jc w:val="left"/>
        <w:rPr>
          <w:rFonts w:ascii="宋体" w:hAnsi="宋体"/>
        </w:rPr>
        <w:sectPr>
          <w:pgSz w:w="11906" w:h="16838"/>
          <w:pgMar w:top="1440" w:right="1797" w:bottom="1440" w:left="1797" w:header="851" w:footer="992" w:gutter="0"/>
          <w:cols w:space="720" w:num="1"/>
          <w:docGrid w:type="lines" w:linePitch="312" w:charSpace="0"/>
        </w:sectPr>
      </w:pPr>
    </w:p>
    <w:p>
      <w:pPr>
        <w:pStyle w:val="6"/>
        <w:spacing w:line="288" w:lineRule="auto"/>
        <w:jc w:val="center"/>
        <w:rPr>
          <w:rFonts w:ascii="宋体" w:eastAsia="宋体"/>
          <w:sz w:val="28"/>
        </w:rPr>
      </w:pPr>
      <w:bookmarkStart w:id="756" w:name="_Toc291847163"/>
      <w:bookmarkStart w:id="757" w:name="_Toc450050392"/>
      <w:bookmarkStart w:id="758" w:name="_Toc451342712"/>
      <w:bookmarkStart w:id="759" w:name="_Toc54249520"/>
      <w:r>
        <w:rPr>
          <w:rFonts w:hint="eastAsia" w:ascii="宋体" w:eastAsia="宋体"/>
          <w:sz w:val="28"/>
        </w:rPr>
        <w:t>（三）法定代表人身份证明及授权委托书</w:t>
      </w:r>
      <w:bookmarkEnd w:id="756"/>
      <w:bookmarkEnd w:id="757"/>
      <w:bookmarkEnd w:id="758"/>
      <w:bookmarkEnd w:id="759"/>
    </w:p>
    <w:p>
      <w:pPr>
        <w:spacing w:line="288" w:lineRule="auto"/>
        <w:jc w:val="center"/>
        <w:rPr>
          <w:rFonts w:ascii="宋体" w:hAnsi="宋体"/>
          <w:b/>
          <w:sz w:val="28"/>
          <w:szCs w:val="28"/>
        </w:rPr>
      </w:pPr>
      <w:r>
        <w:rPr>
          <w:rFonts w:hint="eastAsia" w:ascii="宋体" w:hAnsi="宋体"/>
          <w:b/>
          <w:sz w:val="28"/>
          <w:szCs w:val="28"/>
        </w:rPr>
        <w:t>法定代表人身份证明</w:t>
      </w:r>
    </w:p>
    <w:p>
      <w:pPr>
        <w:spacing w:line="400" w:lineRule="exact"/>
        <w:ind w:left="765"/>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竞标人名称：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2520"/>
          <w:tab w:val="left" w:pos="3836"/>
        </w:tabs>
        <w:autoSpaceDE w:val="0"/>
        <w:autoSpaceDN w:val="0"/>
        <w:adjustRightInd w:val="0"/>
        <w:snapToGrid w:val="0"/>
        <w:spacing w:line="480" w:lineRule="auto"/>
        <w:ind w:firstLine="390" w:firstLineChars="186"/>
        <w:jc w:val="left"/>
        <w:rPr>
          <w:rFonts w:ascii="宋体" w:hAnsi="宋体" w:cs="MingLiU"/>
          <w:kern w:val="0"/>
          <w:sz w:val="10"/>
          <w:szCs w:val="10"/>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cs="MingLiU"/>
          <w:kern w:val="0"/>
          <w:sz w:val="20"/>
          <w:szCs w:val="20"/>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3360"/>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（竞标人名称）的法定代表人。</w:t>
      </w:r>
    </w:p>
    <w:p>
      <w:pPr>
        <w:autoSpaceDE w:val="0"/>
        <w:autoSpaceDN w:val="0"/>
        <w:adjustRightInd w:val="0"/>
        <w:snapToGrid w:val="0"/>
        <w:spacing w:line="480" w:lineRule="auto"/>
        <w:ind w:firstLine="186" w:firstLineChars="186"/>
        <w:jc w:val="left"/>
        <w:rPr>
          <w:rFonts w:ascii="宋体" w:hAnsi="宋体" w:cs="MingLiU"/>
          <w:kern w:val="0"/>
          <w:sz w:val="10"/>
          <w:szCs w:val="10"/>
        </w:rPr>
      </w:pPr>
    </w:p>
    <w:p>
      <w:pPr>
        <w:autoSpaceDE w:val="0"/>
        <w:autoSpaceDN w:val="0"/>
        <w:adjustRightInd w:val="0"/>
        <w:snapToGrid w:val="0"/>
        <w:spacing w:line="480" w:lineRule="auto"/>
        <w:ind w:firstLine="810" w:firstLineChars="386"/>
        <w:jc w:val="left"/>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480" w:lineRule="auto"/>
        <w:jc w:val="left"/>
        <w:rPr>
          <w:rFonts w:ascii="宋体" w:hAnsi="宋体" w:cs="MingLiU"/>
          <w:kern w:val="0"/>
          <w:sz w:val="20"/>
          <w:szCs w:val="20"/>
        </w:rPr>
      </w:pPr>
    </w:p>
    <w:p>
      <w:pPr>
        <w:tabs>
          <w:tab w:val="left" w:pos="5460"/>
        </w:tabs>
        <w:autoSpaceDE w:val="0"/>
        <w:autoSpaceDN w:val="0"/>
        <w:adjustRightInd w:val="0"/>
        <w:snapToGrid w:val="0"/>
        <w:spacing w:line="480" w:lineRule="auto"/>
        <w:ind w:firstLine="2100"/>
        <w:jc w:val="left"/>
        <w:rPr>
          <w:rFonts w:ascii="宋体" w:hAnsi="宋体" w:cs="MingLiU"/>
          <w:kern w:val="0"/>
          <w:szCs w:val="21"/>
        </w:rPr>
      </w:pPr>
      <w:r>
        <w:rPr>
          <w:rFonts w:hint="eastAsia" w:ascii="宋体" w:hAnsi="宋体" w:cs="MingLiU"/>
          <w:kern w:val="0"/>
          <w:szCs w:val="21"/>
        </w:rPr>
        <w:t>竞标人：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480" w:lineRule="auto"/>
        <w:jc w:val="left"/>
        <w:rPr>
          <w:rFonts w:ascii="宋体" w:hAnsi="宋体" w:cs="MingLiU"/>
          <w:kern w:val="0"/>
          <w:sz w:val="20"/>
          <w:szCs w:val="20"/>
        </w:rPr>
      </w:pPr>
    </w:p>
    <w:p>
      <w:pPr>
        <w:tabs>
          <w:tab w:val="left" w:pos="4935"/>
          <w:tab w:val="left" w:pos="5460"/>
          <w:tab w:val="left" w:pos="6400"/>
        </w:tabs>
        <w:autoSpaceDE w:val="0"/>
        <w:autoSpaceDN w:val="0"/>
        <w:adjustRightInd w:val="0"/>
        <w:snapToGrid w:val="0"/>
        <w:spacing w:line="480" w:lineRule="auto"/>
        <w:ind w:firstLine="3780"/>
        <w:jc w:val="left"/>
        <w:rPr>
          <w:rFonts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288" w:lineRule="auto"/>
        <w:jc w:val="left"/>
        <w:rPr>
          <w:rFonts w:ascii="宋体" w:hAnsi="宋体"/>
          <w:kern w:val="0"/>
        </w:rPr>
      </w:pPr>
    </w:p>
    <w:tbl>
      <w:tblPr>
        <w:tblStyle w:val="49"/>
        <w:tblpPr w:leftFromText="180" w:rightFromText="180" w:vertAnchor="text" w:horzAnchor="margin" w:tblpY="1275"/>
        <w:tblW w:w="3794"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794"/>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8" w:hRule="atLeast"/>
        </w:trPr>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Cs w:val="21"/>
              </w:rPr>
            </w:pPr>
            <w:r>
              <w:rPr>
                <w:rFonts w:hint="eastAsia" w:ascii="宋体" w:hAnsi="宋体"/>
                <w:b/>
                <w:szCs w:val="21"/>
              </w:rPr>
              <w:t>法定代表人身份证复印件或扫描件</w:t>
            </w:r>
          </w:p>
          <w:p>
            <w:pPr>
              <w:spacing w:line="288" w:lineRule="auto"/>
              <w:jc w:val="center"/>
              <w:rPr>
                <w:rFonts w:ascii="宋体" w:hAnsi="宋体"/>
                <w:b/>
                <w:sz w:val="28"/>
                <w:szCs w:val="28"/>
              </w:rPr>
            </w:pPr>
            <w:r>
              <w:rPr>
                <w:rFonts w:hint="eastAsia" w:ascii="宋体" w:hAnsi="宋体"/>
                <w:b/>
                <w:sz w:val="28"/>
                <w:szCs w:val="28"/>
              </w:rPr>
              <w:t>（双面）</w:t>
            </w:r>
          </w:p>
          <w:p>
            <w:pPr>
              <w:spacing w:line="288" w:lineRule="auto"/>
              <w:rPr>
                <w:rFonts w:ascii="宋体" w:hAnsi="宋体"/>
                <w:b/>
                <w:sz w:val="28"/>
                <w:szCs w:val="28"/>
              </w:rPr>
            </w:pPr>
          </w:p>
          <w:p>
            <w:pPr>
              <w:spacing w:line="288" w:lineRule="auto"/>
              <w:rPr>
                <w:rFonts w:ascii="宋体" w:hAnsi="宋体"/>
                <w:b/>
                <w:sz w:val="28"/>
                <w:szCs w:val="28"/>
              </w:rPr>
            </w:pPr>
          </w:p>
        </w:tc>
      </w:tr>
    </w:tbl>
    <w:p>
      <w:pPr>
        <w:autoSpaceDE w:val="0"/>
        <w:autoSpaceDN w:val="0"/>
        <w:adjustRightInd w:val="0"/>
        <w:snapToGrid w:val="0"/>
        <w:spacing w:line="288" w:lineRule="auto"/>
        <w:jc w:val="left"/>
        <w:rPr>
          <w:rFonts w:ascii="宋体" w:hAnsi="宋体"/>
          <w:kern w:val="0"/>
          <w:szCs w:val="21"/>
        </w:rPr>
      </w:pPr>
      <w:r>
        <w:rPr>
          <w:rFonts w:hint="eastAsia" w:ascii="宋体" w:hAnsi="宋体"/>
          <w:b/>
          <w:szCs w:val="21"/>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288" w:lineRule="auto"/>
        <w:jc w:val="left"/>
        <w:rPr>
          <w:rFonts w:ascii="宋体" w:hAnsi="宋体" w:cs="MingLiU"/>
          <w:kern w:val="0"/>
          <w:sz w:val="12"/>
          <w:szCs w:val="12"/>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（姓名）系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cs="MingLiU"/>
          <w:spacing w:val="-1"/>
          <w:kern w:val="0"/>
          <w:szCs w:val="21"/>
        </w:rPr>
        <w:t>竞标人</w:t>
      </w:r>
      <w:r>
        <w:rPr>
          <w:rFonts w:hint="eastAsia" w:ascii="宋体" w:hAnsi="宋体" w:cs="MingLiU"/>
          <w:kern w:val="0"/>
          <w:szCs w:val="21"/>
        </w:rPr>
        <w:t>名称</w:t>
      </w:r>
      <w:r>
        <w:rPr>
          <w:rFonts w:hint="eastAsia" w:ascii="宋体" w:hAnsi="宋体" w:cs="MingLiU"/>
          <w:spacing w:val="1"/>
          <w:kern w:val="0"/>
          <w:szCs w:val="21"/>
        </w:rPr>
        <w:t>）</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（姓</w:t>
      </w:r>
      <w:r>
        <w:rPr>
          <w:rFonts w:hint="eastAsia" w:ascii="宋体" w:hAnsi="宋体"/>
          <w:kern w:val="0"/>
          <w:szCs w:val="21"/>
        </w:rPr>
        <w:t xml:space="preserve"> </w:t>
      </w:r>
      <w:r>
        <w:rPr>
          <w:rFonts w:hint="eastAsia" w:ascii="宋体" w:hAnsi="宋体" w:cs="MingLiU"/>
          <w:kern w:val="0"/>
          <w:szCs w:val="21"/>
        </w:rPr>
        <w:t>名）为我方代理人。代理人根据授权，以我方名义签署、澄清、说明、补正、递交、撤回、</w:t>
      </w:r>
      <w:r>
        <w:rPr>
          <w:rFonts w:hint="eastAsia" w:ascii="宋体" w:hAnsi="宋体"/>
          <w:kern w:val="0"/>
          <w:szCs w:val="21"/>
        </w:rPr>
        <w:t xml:space="preserve"> </w:t>
      </w:r>
      <w:r>
        <w:rPr>
          <w:rFonts w:hint="eastAsia" w:ascii="宋体" w:hAnsi="宋体" w:cs="MingLiU"/>
          <w:kern w:val="0"/>
          <w:szCs w:val="21"/>
        </w:rPr>
        <w:t>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（项</w:t>
      </w:r>
      <w:r>
        <w:rPr>
          <w:rFonts w:hint="eastAsia" w:ascii="宋体" w:hAnsi="宋体" w:cs="MingLiU"/>
          <w:spacing w:val="-1"/>
          <w:kern w:val="0"/>
          <w:szCs w:val="21"/>
        </w:rPr>
        <w:t>目</w:t>
      </w:r>
      <w:r>
        <w:rPr>
          <w:rFonts w:hint="eastAsia" w:ascii="宋体" w:hAnsi="宋体" w:cs="MingLiU"/>
          <w:kern w:val="0"/>
          <w:szCs w:val="21"/>
        </w:rPr>
        <w:t>名称）施工竞标文件、签订合同和处理有关事宜，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hint="eastAsia" w:ascii="宋体" w:hAnsi="宋体" w:cs="MingLiU"/>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hint="eastAsia" w:ascii="宋体" w:hAnsi="宋体" w:cs="MingLiU"/>
          <w:kern w:val="0"/>
          <w:szCs w:val="21"/>
        </w:rPr>
        <w:t>附：法定代表人身份证明。</w:t>
      </w:r>
    </w:p>
    <w:p>
      <w:pPr>
        <w:autoSpaceDE w:val="0"/>
        <w:autoSpaceDN w:val="0"/>
        <w:adjustRightInd w:val="0"/>
        <w:snapToGrid w:val="0"/>
        <w:spacing w:line="360" w:lineRule="auto"/>
        <w:jc w:val="left"/>
        <w:rPr>
          <w:rFonts w:ascii="宋体" w:hAnsi="宋体" w:cs="MingLiU"/>
          <w:kern w:val="0"/>
          <w:sz w:val="20"/>
          <w:szCs w:val="20"/>
        </w:rPr>
      </w:pPr>
    </w:p>
    <w:p>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hint="eastAsia" w:ascii="宋体" w:hAnsi="宋体" w:cs="MingLiU"/>
          <w:kern w:val="0"/>
          <w:szCs w:val="21"/>
        </w:rPr>
        <w:t>投  标  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tabs>
          <w:tab w:val="left" w:pos="6300"/>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（签字或盖章）</w:t>
      </w:r>
    </w:p>
    <w:p>
      <w:pPr>
        <w:tabs>
          <w:tab w:val="left" w:pos="5260"/>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6720"/>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w:t>
      </w:r>
      <w:r>
        <w:rPr>
          <w:rFonts w:hint="eastAsia" w:ascii="宋体" w:hAnsi="宋体" w:cs="MingLiU"/>
          <w:spacing w:val="-1"/>
          <w:kern w:val="0"/>
          <w:szCs w:val="21"/>
        </w:rPr>
        <w:t>字</w:t>
      </w:r>
      <w:r>
        <w:rPr>
          <w:rFonts w:hint="eastAsia" w:ascii="宋体" w:hAnsi="宋体" w:cs="MingLiU"/>
          <w:kern w:val="0"/>
          <w:szCs w:val="21"/>
        </w:rPr>
        <w:t>）</w:t>
      </w:r>
    </w:p>
    <w:p>
      <w:pPr>
        <w:tabs>
          <w:tab w:val="left" w:pos="6825"/>
        </w:tabs>
        <w:autoSpaceDE w:val="0"/>
        <w:autoSpaceDN w:val="0"/>
        <w:adjustRightInd w:val="0"/>
        <w:snapToGrid w:val="0"/>
        <w:spacing w:line="360"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b/>
          <w:kern w:val="0"/>
          <w:szCs w:val="21"/>
        </w:rPr>
      </w:pPr>
      <w:r>
        <w:rPr>
          <w:rFonts w:hint="eastAsia" w:ascii="宋体" w:hAnsi="宋体" w:cs="MingLiU"/>
          <w:b/>
          <w:kern w:val="0"/>
          <w:szCs w:val="21"/>
        </w:rPr>
        <w:t>附：法定代表人和授权代理人身份证复印件</w:t>
      </w:r>
    </w:p>
    <w:p>
      <w:pPr>
        <w:autoSpaceDE w:val="0"/>
        <w:autoSpaceDN w:val="0"/>
        <w:adjustRightInd w:val="0"/>
        <w:snapToGrid w:val="0"/>
        <w:spacing w:line="288" w:lineRule="auto"/>
        <w:jc w:val="left"/>
        <w:rPr>
          <w:rFonts w:ascii="宋体" w:hAnsi="宋体" w:cs="MingLiU"/>
          <w:kern w:val="0"/>
          <w:sz w:val="20"/>
          <w:szCs w:val="20"/>
        </w:rPr>
      </w:pPr>
    </w:p>
    <w:tbl>
      <w:tblPr>
        <w:tblStyle w:val="49"/>
        <w:tblpPr w:leftFromText="180" w:rightFromText="180" w:vertAnchor="text" w:horzAnchor="margin" w:tblpY="147"/>
        <w:tblW w:w="3794"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794"/>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8" w:hRule="atLeast"/>
        </w:trPr>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 w:val="28"/>
                <w:szCs w:val="28"/>
              </w:rPr>
            </w:pPr>
            <w:r>
              <w:rPr>
                <w:rFonts w:hint="eastAsia" w:ascii="宋体" w:hAnsi="宋体"/>
                <w:b/>
                <w:szCs w:val="21"/>
              </w:rPr>
              <w:t>法定代表人身份证复印件或扫描件</w:t>
            </w:r>
          </w:p>
          <w:p>
            <w:pPr>
              <w:spacing w:line="288" w:lineRule="auto"/>
              <w:jc w:val="center"/>
              <w:rPr>
                <w:rFonts w:ascii="宋体" w:hAnsi="宋体"/>
                <w:b/>
                <w:sz w:val="28"/>
                <w:szCs w:val="28"/>
              </w:rPr>
            </w:pPr>
            <w:r>
              <w:rPr>
                <w:rFonts w:hint="eastAsia" w:ascii="宋体" w:hAnsi="宋体"/>
                <w:b/>
                <w:sz w:val="28"/>
                <w:szCs w:val="28"/>
              </w:rPr>
              <w:t>（双面）</w:t>
            </w:r>
          </w:p>
          <w:p>
            <w:pPr>
              <w:spacing w:line="288" w:lineRule="auto"/>
              <w:rPr>
                <w:rFonts w:ascii="宋体" w:hAnsi="宋体"/>
                <w:b/>
                <w:sz w:val="28"/>
                <w:szCs w:val="28"/>
              </w:rPr>
            </w:pPr>
          </w:p>
          <w:p>
            <w:pPr>
              <w:spacing w:line="288" w:lineRule="auto"/>
              <w:rPr>
                <w:rFonts w:ascii="宋体" w:hAnsi="宋体"/>
                <w:b/>
                <w:sz w:val="28"/>
                <w:szCs w:val="28"/>
              </w:rPr>
            </w:pPr>
          </w:p>
        </w:tc>
      </w:tr>
    </w:tbl>
    <w:p>
      <w:pPr>
        <w:spacing w:line="288" w:lineRule="auto"/>
        <w:rPr>
          <w:rFonts w:ascii="宋体" w:hAnsi="宋体"/>
          <w:vanish/>
        </w:rPr>
      </w:pPr>
    </w:p>
    <w:tbl>
      <w:tblPr>
        <w:tblStyle w:val="49"/>
        <w:tblpPr w:leftFromText="180" w:rightFromText="180" w:vertAnchor="text" w:horzAnchor="page" w:tblpX="6073" w:tblpY="252"/>
        <w:tblW w:w="3794"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794"/>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8" w:hRule="atLeast"/>
        </w:trPr>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jc w:val="center"/>
              <w:rPr>
                <w:rFonts w:ascii="宋体" w:hAnsi="宋体"/>
                <w:b/>
                <w:sz w:val="28"/>
                <w:szCs w:val="28"/>
              </w:rPr>
            </w:pPr>
            <w:r>
              <w:rPr>
                <w:rFonts w:hint="eastAsia" w:ascii="宋体" w:hAnsi="宋体"/>
                <w:b/>
                <w:szCs w:val="21"/>
              </w:rPr>
              <w:t>授权代理人身份证复印件或扫描件</w:t>
            </w:r>
          </w:p>
          <w:p>
            <w:pPr>
              <w:spacing w:line="288" w:lineRule="auto"/>
              <w:jc w:val="center"/>
              <w:rPr>
                <w:rFonts w:ascii="宋体" w:hAnsi="宋体"/>
                <w:b/>
                <w:sz w:val="28"/>
                <w:szCs w:val="28"/>
              </w:rPr>
            </w:pPr>
            <w:r>
              <w:rPr>
                <w:rFonts w:hint="eastAsia" w:ascii="宋体" w:hAnsi="宋体"/>
                <w:b/>
                <w:sz w:val="28"/>
                <w:szCs w:val="28"/>
              </w:rPr>
              <w:t>（双面）</w:t>
            </w:r>
          </w:p>
          <w:p>
            <w:pPr>
              <w:spacing w:line="288" w:lineRule="auto"/>
              <w:rPr>
                <w:rFonts w:ascii="宋体" w:hAnsi="宋体"/>
                <w:b/>
                <w:sz w:val="28"/>
                <w:szCs w:val="28"/>
              </w:rPr>
            </w:pPr>
          </w:p>
          <w:p>
            <w:pPr>
              <w:spacing w:line="288" w:lineRule="auto"/>
              <w:rPr>
                <w:rFonts w:ascii="宋体" w:hAnsi="宋体"/>
                <w:b/>
                <w:sz w:val="28"/>
                <w:szCs w:val="28"/>
              </w:rPr>
            </w:pPr>
          </w:p>
        </w:tc>
      </w:tr>
    </w:tbl>
    <w:p>
      <w:pPr>
        <w:autoSpaceDE w:val="0"/>
        <w:autoSpaceDN w:val="0"/>
        <w:adjustRightInd w:val="0"/>
        <w:snapToGrid w:val="0"/>
        <w:spacing w:line="288" w:lineRule="auto"/>
        <w:jc w:val="left"/>
        <w:rPr>
          <w:rFonts w:ascii="宋体" w:hAnsi="宋体" w:cs="MingLiU"/>
          <w:kern w:val="0"/>
          <w:sz w:val="28"/>
          <w:szCs w:val="28"/>
        </w:rPr>
      </w:pPr>
      <w:r>
        <w:rPr>
          <w:rFonts w:hint="eastAsia" w:ascii="宋体" w:hAnsi="宋体" w:cs="MingLiU"/>
          <w:kern w:val="0"/>
          <w:sz w:val="28"/>
          <w:szCs w:val="28"/>
        </w:rPr>
        <w:t xml:space="preserve"> </w:t>
      </w:r>
    </w:p>
    <w:p>
      <w:pPr>
        <w:autoSpaceDE w:val="0"/>
        <w:autoSpaceDN w:val="0"/>
        <w:adjustRightInd w:val="0"/>
        <w:snapToGrid w:val="0"/>
        <w:spacing w:line="288" w:lineRule="auto"/>
        <w:jc w:val="left"/>
        <w:rPr>
          <w:rFonts w:ascii="宋体" w:hAnsi="宋体" w:cs="MingLiU"/>
          <w:kern w:val="0"/>
          <w:sz w:val="28"/>
          <w:szCs w:val="28"/>
        </w:rPr>
      </w:pPr>
    </w:p>
    <w:p>
      <w:pPr>
        <w:autoSpaceDE w:val="0"/>
        <w:autoSpaceDN w:val="0"/>
        <w:adjustRightInd w:val="0"/>
        <w:snapToGrid w:val="0"/>
        <w:spacing w:line="288" w:lineRule="auto"/>
        <w:jc w:val="left"/>
        <w:rPr>
          <w:rFonts w:ascii="宋体" w:hAnsi="宋体" w:cs="MingLiU"/>
          <w:kern w:val="0"/>
          <w:sz w:val="28"/>
          <w:szCs w:val="28"/>
        </w:rPr>
      </w:pPr>
    </w:p>
    <w:p>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p>
      <w:pPr>
        <w:autoSpaceDE w:val="0"/>
        <w:autoSpaceDN w:val="0"/>
        <w:adjustRightInd w:val="0"/>
        <w:snapToGrid w:val="0"/>
        <w:spacing w:line="288" w:lineRule="auto"/>
        <w:jc w:val="left"/>
        <w:rPr>
          <w:rFonts w:ascii="宋体" w:hAnsi="宋体" w:cs="MingLiU"/>
          <w:kern w:val="0"/>
          <w:szCs w:val="21"/>
        </w:rPr>
      </w:pPr>
    </w:p>
    <w:p>
      <w:pPr>
        <w:autoSpaceDE w:val="0"/>
        <w:autoSpaceDN w:val="0"/>
        <w:adjustRightInd w:val="0"/>
        <w:snapToGrid w:val="0"/>
        <w:spacing w:line="288" w:lineRule="auto"/>
        <w:ind w:firstLine="420" w:firstLineChars="200"/>
        <w:jc w:val="left"/>
        <w:rPr>
          <w:rFonts w:ascii="宋体" w:hAnsi="宋体" w:cs="MingLiU"/>
          <w:kern w:val="0"/>
          <w:szCs w:val="21"/>
        </w:rPr>
      </w:pPr>
      <w:r>
        <w:rPr>
          <w:rFonts w:hint="eastAsia" w:ascii="宋体" w:hAnsi="宋体" w:cs="MingLiU"/>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pPr>
        <w:autoSpaceDE w:val="0"/>
        <w:autoSpaceDN w:val="0"/>
        <w:adjustRightInd w:val="0"/>
        <w:snapToGrid w:val="0"/>
        <w:spacing w:line="288" w:lineRule="auto"/>
        <w:ind w:firstLine="420" w:firstLineChars="200"/>
        <w:jc w:val="left"/>
        <w:rPr>
          <w:rFonts w:ascii="宋体" w:hAnsi="宋体" w:cs="MingLiU"/>
          <w:kern w:val="0"/>
          <w:szCs w:val="21"/>
        </w:rPr>
      </w:pPr>
      <w:r>
        <w:rPr>
          <w:rFonts w:hint="eastAsia" w:ascii="宋体" w:hAnsi="宋体" w:cs="MingLiU"/>
          <w:kern w:val="0"/>
          <w:szCs w:val="21"/>
        </w:rPr>
        <w:t>2、法定代表人身份证明及授权委托书原件除装入竞标文件一并递交外还应提交一份开标时以查验。</w:t>
      </w:r>
    </w:p>
    <w:p>
      <w:pPr>
        <w:pStyle w:val="2"/>
        <w:ind w:firstLine="210"/>
        <w:rPr>
          <w:kern w:val="0"/>
        </w:rPr>
      </w:pPr>
      <w:r>
        <w:rPr>
          <w:kern w:val="0"/>
        </w:rPr>
        <w:br w:type="page"/>
      </w:r>
    </w:p>
    <w:p>
      <w:pPr>
        <w:autoSpaceDE w:val="0"/>
        <w:autoSpaceDN w:val="0"/>
        <w:adjustRightInd w:val="0"/>
        <w:snapToGrid w:val="0"/>
        <w:spacing w:line="360" w:lineRule="auto"/>
        <w:jc w:val="center"/>
        <w:rPr>
          <w:rFonts w:ascii="宋体" w:hAnsi="宋体"/>
          <w:snapToGrid w:val="0"/>
          <w:kern w:val="0"/>
          <w:sz w:val="32"/>
          <w:szCs w:val="32"/>
        </w:rPr>
      </w:pPr>
      <w:bookmarkStart w:id="760" w:name="_Toc287620817"/>
      <w:bookmarkStart w:id="761" w:name="_Toc224103498"/>
      <w:bookmarkStart w:id="762" w:name="_Toc287607870"/>
      <w:bookmarkStart w:id="763" w:name="_Toc277082646"/>
      <w:r>
        <w:rPr>
          <w:rFonts w:ascii="宋体" w:hAnsi="宋体"/>
          <w:snapToGrid w:val="0"/>
          <w:kern w:val="0"/>
          <w:sz w:val="32"/>
          <w:szCs w:val="32"/>
        </w:rPr>
        <w:t>（四）</w:t>
      </w:r>
      <w:bookmarkEnd w:id="760"/>
      <w:bookmarkEnd w:id="761"/>
      <w:bookmarkEnd w:id="762"/>
      <w:bookmarkEnd w:id="763"/>
      <w:r>
        <w:rPr>
          <w:rFonts w:hint="eastAsia" w:ascii="宋体" w:hAnsi="宋体"/>
          <w:snapToGrid w:val="0"/>
          <w:kern w:val="0"/>
          <w:sz w:val="32"/>
          <w:szCs w:val="32"/>
        </w:rPr>
        <w:t>低价风险担保缴纳承诺书</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jc w:val="center"/>
        <w:rPr>
          <w:rFonts w:ascii="宋体" w:hAnsi="宋体"/>
          <w:snapToGrid w:val="0"/>
          <w:kern w:val="0"/>
          <w:sz w:val="32"/>
          <w:szCs w:val="32"/>
        </w:rPr>
      </w:pPr>
      <w:r>
        <w:rPr>
          <w:rFonts w:hint="eastAsia" w:ascii="宋体" w:hAnsi="宋体"/>
          <w:snapToGrid w:val="0"/>
          <w:kern w:val="0"/>
          <w:sz w:val="32"/>
          <w:szCs w:val="32"/>
        </w:rPr>
        <w:t>（投标报价低于招标项目最高限价85%时采用）</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720" w:lineRule="auto"/>
        <w:rPr>
          <w:rFonts w:ascii="宋体" w:hAnsi="宋体" w:cs="宋体"/>
          <w:snapToGrid w:val="0"/>
          <w:kern w:val="0"/>
          <w:szCs w:val="21"/>
        </w:rPr>
      </w:pPr>
      <w:r>
        <w:rPr>
          <w:rFonts w:hint="eastAsia" w:ascii="宋体" w:hAnsi="宋体" w:cs="宋体"/>
          <w:snapToGrid w:val="0"/>
          <w:kern w:val="0"/>
          <w:szCs w:val="21"/>
          <w:u w:val="single"/>
        </w:rPr>
        <w:t>（比选人名称）</w:t>
      </w:r>
      <w:r>
        <w:rPr>
          <w:rFonts w:hint="eastAsia" w:ascii="宋体" w:hAnsi="宋体" w:cs="宋体"/>
          <w:snapToGrid w:val="0"/>
          <w:kern w:val="0"/>
          <w:szCs w:val="21"/>
        </w:rPr>
        <w:t>：</w:t>
      </w:r>
    </w:p>
    <w:p>
      <w:pPr>
        <w:autoSpaceDE w:val="0"/>
        <w:autoSpaceDN w:val="0"/>
        <w:adjustRightInd w:val="0"/>
        <w:snapToGrid w:val="0"/>
        <w:spacing w:line="72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（竞标人名称）</w:t>
      </w:r>
      <w:r>
        <w:rPr>
          <w:rFonts w:hint="eastAsia" w:ascii="宋体" w:hAnsi="宋体" w:cs="宋体"/>
          <w:snapToGrid w:val="0"/>
          <w:kern w:val="0"/>
          <w:szCs w:val="21"/>
        </w:rPr>
        <w:t>参加了你公司</w:t>
      </w:r>
      <w:r>
        <w:rPr>
          <w:rFonts w:hint="eastAsia" w:ascii="宋体" w:hAnsi="宋体" w:cs="宋体"/>
          <w:snapToGrid w:val="0"/>
          <w:kern w:val="0"/>
          <w:szCs w:val="21"/>
          <w:u w:val="single"/>
        </w:rPr>
        <w:t>（比选项目名称）</w:t>
      </w:r>
      <w:r>
        <w:rPr>
          <w:rFonts w:hint="eastAsia" w:ascii="宋体" w:hAnsi="宋体" w:cs="宋体"/>
          <w:snapToGrid w:val="0"/>
          <w:kern w:val="0"/>
          <w:szCs w:val="21"/>
        </w:rPr>
        <w:t>的竞标。我公司竞标报价低于招标项目最高限价</w:t>
      </w:r>
      <w:r>
        <w:rPr>
          <w:rFonts w:hint="eastAsia" w:ascii="宋体" w:hAnsi="宋体" w:cs="宋体"/>
          <w:snapToGrid w:val="0"/>
          <w:kern w:val="0"/>
          <w:szCs w:val="21"/>
          <w:u w:val="single"/>
        </w:rPr>
        <w:t xml:space="preserve">    </w:t>
      </w:r>
      <w:r>
        <w:rPr>
          <w:rFonts w:ascii="宋体" w:hAnsi="宋体" w:cs="宋体"/>
          <w:snapToGrid w:val="0"/>
          <w:kern w:val="0"/>
          <w:szCs w:val="21"/>
        </w:rPr>
        <w:t>%</w:t>
      </w:r>
      <w:r>
        <w:rPr>
          <w:rFonts w:hint="eastAsia" w:ascii="宋体" w:hAnsi="宋体" w:cs="宋体"/>
          <w:snapToGrid w:val="0"/>
          <w:kern w:val="0"/>
          <w:szCs w:val="21"/>
        </w:rPr>
        <w:t>，若获得中标资格，我公司承诺按照比选文件的规定递交低价风险担保。否则，我公司愿承担比选文件中约定的，因未按规定递交低价风险担保的相应责任。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tabs>
          <w:tab w:val="left" w:pos="7140"/>
          <w:tab w:val="left" w:pos="7560"/>
          <w:tab w:val="left" w:pos="8300"/>
        </w:tabs>
        <w:autoSpaceDE w:val="0"/>
        <w:autoSpaceDN w:val="0"/>
        <w:adjustRightInd w:val="0"/>
        <w:ind w:firstLine="420" w:firstLineChars="200"/>
        <w:rPr>
          <w:rFonts w:ascii="宋体" w:hAnsi="宋体"/>
          <w:snapToGrid w:val="0"/>
          <w:kern w:val="0"/>
          <w:szCs w:val="21"/>
        </w:rPr>
      </w:pPr>
    </w:p>
    <w:p>
      <w:pPr>
        <w:tabs>
          <w:tab w:val="left" w:pos="3840"/>
          <w:tab w:val="left" w:pos="4780"/>
          <w:tab w:val="left" w:pos="5720"/>
        </w:tabs>
        <w:autoSpaceDE w:val="0"/>
        <w:autoSpaceDN w:val="0"/>
        <w:adjustRightInd w:val="0"/>
        <w:snapToGrid w:val="0"/>
        <w:spacing w:beforeLines="50" w:line="500" w:lineRule="exact"/>
        <w:ind w:right="420" w:firstLine="5565" w:firstLineChars="2650"/>
        <w:jc w:val="right"/>
        <w:rPr>
          <w:rFonts w:ascii="宋体" w:hAnsi="宋体"/>
          <w:snapToGrid w:val="0"/>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autoSpaceDE w:val="0"/>
        <w:autoSpaceDN w:val="0"/>
        <w:adjustRightInd w:val="0"/>
        <w:snapToGrid w:val="0"/>
        <w:spacing w:line="288" w:lineRule="auto"/>
        <w:jc w:val="left"/>
        <w:rPr>
          <w:rFonts w:ascii="宋体" w:hAnsi="宋体" w:cs="MingLiU"/>
          <w:kern w:val="0"/>
          <w:szCs w:val="21"/>
        </w:rPr>
      </w:pPr>
    </w:p>
    <w:p>
      <w:pPr>
        <w:pStyle w:val="2"/>
        <w:ind w:firstLine="210"/>
        <w:rPr>
          <w:kern w:val="0"/>
        </w:rPr>
      </w:pPr>
      <w:r>
        <w:rPr>
          <w:kern w:val="0"/>
        </w:rPr>
        <w:br w:type="page"/>
      </w:r>
    </w:p>
    <w:p>
      <w:pPr>
        <w:autoSpaceDE w:val="0"/>
        <w:autoSpaceDN w:val="0"/>
        <w:adjustRightInd w:val="0"/>
        <w:snapToGrid w:val="0"/>
        <w:spacing w:line="288" w:lineRule="auto"/>
        <w:ind w:firstLine="420" w:firstLineChars="200"/>
        <w:jc w:val="left"/>
        <w:rPr>
          <w:rFonts w:ascii="宋体" w:hAnsi="宋体" w:cs="MingLiU"/>
          <w:kern w:val="0"/>
          <w:szCs w:val="21"/>
        </w:rPr>
      </w:pPr>
    </w:p>
    <w:p>
      <w:pPr>
        <w:autoSpaceDE w:val="0"/>
        <w:autoSpaceDN w:val="0"/>
        <w:adjustRightInd w:val="0"/>
        <w:snapToGrid w:val="0"/>
        <w:spacing w:line="288" w:lineRule="auto"/>
        <w:rPr>
          <w:rFonts w:ascii="宋体" w:hAnsi="宋体"/>
          <w:bCs/>
          <w:sz w:val="32"/>
        </w:rPr>
      </w:pPr>
      <w:bookmarkStart w:id="764" w:name="_Toc291847166"/>
    </w:p>
    <w:p>
      <w:pPr>
        <w:pStyle w:val="5"/>
        <w:spacing w:line="288" w:lineRule="auto"/>
        <w:jc w:val="center"/>
        <w:rPr>
          <w:rFonts w:ascii="宋体" w:eastAsia="宋体"/>
          <w:bCs/>
          <w:sz w:val="32"/>
        </w:rPr>
      </w:pPr>
      <w:bookmarkStart w:id="765" w:name="_Toc451342714"/>
      <w:bookmarkStart w:id="766" w:name="_Toc488005264"/>
      <w:bookmarkStart w:id="767" w:name="_Toc54249521"/>
      <w:r>
        <w:rPr>
          <w:rFonts w:hint="eastAsia" w:ascii="宋体" w:eastAsia="宋体"/>
          <w:bCs/>
          <w:sz w:val="32"/>
        </w:rPr>
        <w:t>二、商务部分</w:t>
      </w:r>
      <w:bookmarkEnd w:id="764"/>
      <w:bookmarkEnd w:id="765"/>
      <w:bookmarkEnd w:id="766"/>
      <w:bookmarkEnd w:id="767"/>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r>
        <w:rPr>
          <w:rFonts w:hint="eastAsia" w:ascii="宋体" w:hAnsi="宋体"/>
          <w:kern w:val="0"/>
          <w:sz w:val="28"/>
          <w:szCs w:val="28"/>
        </w:rPr>
        <w:t xml:space="preserve">  </w:t>
      </w: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pPr>
        <w:tabs>
          <w:tab w:val="left" w:pos="2580"/>
          <w:tab w:val="left" w:pos="5940"/>
        </w:tabs>
        <w:autoSpaceDE w:val="0"/>
        <w:autoSpaceDN w:val="0"/>
        <w:adjustRightInd w:val="0"/>
        <w:snapToGrid w:val="0"/>
        <w:spacing w:line="288" w:lineRule="auto"/>
        <w:jc w:val="left"/>
        <w:rPr>
          <w:rFonts w:ascii="宋体" w:hAnsi="宋体"/>
          <w:kern w:val="0"/>
          <w:sz w:val="28"/>
          <w:szCs w:val="28"/>
        </w:rPr>
      </w:pPr>
    </w:p>
    <w:p>
      <w:pPr>
        <w:tabs>
          <w:tab w:val="left" w:pos="2580"/>
          <w:tab w:val="left" w:pos="5940"/>
        </w:tabs>
        <w:autoSpaceDE w:val="0"/>
        <w:autoSpaceDN w:val="0"/>
        <w:adjustRightInd w:val="0"/>
        <w:snapToGrid w:val="0"/>
        <w:spacing w:line="288" w:lineRule="auto"/>
        <w:jc w:val="left"/>
        <w:rPr>
          <w:rFonts w:ascii="宋体" w:hAnsi="宋体"/>
          <w:kern w:val="0"/>
          <w:sz w:val="28"/>
          <w:szCs w:val="28"/>
        </w:rPr>
      </w:pPr>
    </w:p>
    <w:p>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Pr>
          <w:rFonts w:hint="eastAsia" w:ascii="宋体" w:hAnsi="宋体"/>
          <w:b/>
          <w:kern w:val="0"/>
          <w:sz w:val="28"/>
          <w:szCs w:val="28"/>
          <w:u w:val="single"/>
        </w:rPr>
        <w:tab/>
      </w:r>
      <w:r>
        <w:rPr>
          <w:rFonts w:hint="eastAsia" w:ascii="宋体" w:hAnsi="宋体" w:cs="MingLiU"/>
          <w:b/>
          <w:w w:val="99"/>
          <w:kern w:val="0"/>
          <w:sz w:val="28"/>
          <w:szCs w:val="28"/>
        </w:rPr>
        <w:t>（项目名称</w:t>
      </w:r>
      <w:r>
        <w:rPr>
          <w:rFonts w:hint="eastAsia" w:ascii="宋体" w:hAnsi="宋体" w:cs="MingLiU"/>
          <w:b/>
          <w:spacing w:val="1"/>
          <w:w w:val="99"/>
          <w:kern w:val="0"/>
          <w:sz w:val="28"/>
          <w:szCs w:val="28"/>
        </w:rPr>
        <w:t>）</w:t>
      </w:r>
      <w:r>
        <w:rPr>
          <w:rFonts w:hint="eastAsia" w:ascii="宋体" w:hAnsi="宋体" w:cs="MingLiU"/>
          <w:b/>
          <w:w w:val="99"/>
          <w:kern w:val="0"/>
          <w:sz w:val="28"/>
          <w:szCs w:val="28"/>
        </w:rPr>
        <w:t>施工招标</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Pr>
          <w:rFonts w:hint="eastAsia" w:ascii="宋体" w:hAnsi="宋体" w:cs="MingLiU"/>
          <w:b/>
          <w:kern w:val="0"/>
          <w:sz w:val="84"/>
          <w:szCs w:val="84"/>
        </w:rPr>
        <w:t>竞  标  文  件</w:t>
      </w:r>
    </w:p>
    <w:p>
      <w:pPr>
        <w:autoSpaceDE w:val="0"/>
        <w:autoSpaceDN w:val="0"/>
        <w:adjustRightInd w:val="0"/>
        <w:snapToGrid w:val="0"/>
        <w:spacing w:line="288" w:lineRule="auto"/>
        <w:jc w:val="left"/>
        <w:rPr>
          <w:rFonts w:ascii="宋体" w:hAnsi="宋体" w:cs="MingLiU"/>
          <w:kern w:val="0"/>
          <w:sz w:val="16"/>
          <w:szCs w:val="16"/>
        </w:rPr>
      </w:pPr>
    </w:p>
    <w:p>
      <w:pPr>
        <w:autoSpaceDE w:val="0"/>
        <w:autoSpaceDN w:val="0"/>
        <w:adjustRightInd w:val="0"/>
        <w:snapToGrid w:val="0"/>
        <w:spacing w:line="288" w:lineRule="auto"/>
        <w:jc w:val="left"/>
        <w:rPr>
          <w:rFonts w:ascii="宋体" w:hAnsi="宋体" w:cs="MingLiU"/>
          <w:b/>
          <w:kern w:val="0"/>
          <w:sz w:val="36"/>
          <w:szCs w:val="36"/>
        </w:rPr>
      </w:pPr>
      <w:r>
        <w:rPr>
          <w:rFonts w:hint="eastAsia" w:ascii="宋体" w:hAnsi="宋体" w:cs="MingLiU"/>
          <w:kern w:val="0"/>
          <w:sz w:val="20"/>
          <w:szCs w:val="20"/>
        </w:rPr>
        <w:t xml:space="preserve">                                 </w:t>
      </w:r>
      <w:r>
        <w:rPr>
          <w:rFonts w:hint="eastAsia" w:ascii="宋体" w:hAnsi="宋体" w:cs="MingLiU"/>
          <w:b/>
          <w:kern w:val="0"/>
          <w:sz w:val="36"/>
          <w:szCs w:val="36"/>
        </w:rPr>
        <w:t xml:space="preserve"> 商务部分</w:t>
      </w: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tabs>
          <w:tab w:val="left" w:pos="6080"/>
          <w:tab w:val="left" w:pos="6640"/>
        </w:tabs>
        <w:autoSpaceDE w:val="0"/>
        <w:autoSpaceDN w:val="0"/>
        <w:adjustRightInd w:val="0"/>
        <w:snapToGrid w:val="0"/>
        <w:spacing w:line="480" w:lineRule="auto"/>
        <w:jc w:val="center"/>
        <w:rPr>
          <w:rFonts w:ascii="宋体" w:hAnsi="宋体"/>
          <w:b/>
          <w:w w:val="99"/>
          <w:kern w:val="0"/>
          <w:sz w:val="28"/>
          <w:szCs w:val="28"/>
        </w:rPr>
      </w:pPr>
      <w:r>
        <w:rPr>
          <w:rFonts w:hint="eastAsia" w:ascii="宋体" w:hAnsi="宋体" w:cs="MingLiU"/>
          <w:b/>
          <w:w w:val="99"/>
          <w:kern w:val="0"/>
          <w:sz w:val="28"/>
          <w:szCs w:val="28"/>
        </w:rPr>
        <w:t>竞标人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（盖单位公章）</w:t>
      </w:r>
    </w:p>
    <w:p>
      <w:pPr>
        <w:tabs>
          <w:tab w:val="left" w:pos="6080"/>
          <w:tab w:val="left" w:pos="6640"/>
        </w:tabs>
        <w:autoSpaceDE w:val="0"/>
        <w:autoSpaceDN w:val="0"/>
        <w:adjustRightInd w:val="0"/>
        <w:snapToGrid w:val="0"/>
        <w:spacing w:line="480" w:lineRule="auto"/>
        <w:jc w:val="center"/>
        <w:rPr>
          <w:rFonts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w:t>
      </w:r>
      <w:r>
        <w:rPr>
          <w:rFonts w:hint="eastAsia" w:ascii="宋体" w:hAnsi="宋体" w:cs="宋体"/>
          <w:b/>
          <w:w w:val="99"/>
          <w:kern w:val="0"/>
          <w:sz w:val="28"/>
          <w:szCs w:val="28"/>
        </w:rPr>
        <w:t>签字或盖章</w:t>
      </w:r>
      <w:r>
        <w:rPr>
          <w:rFonts w:hint="eastAsia" w:ascii="宋体" w:hAnsi="宋体" w:cs="MingLiU"/>
          <w:b/>
          <w:w w:val="99"/>
          <w:kern w:val="0"/>
          <w:sz w:val="28"/>
          <w:szCs w:val="28"/>
        </w:rPr>
        <w:t>）</w:t>
      </w:r>
    </w:p>
    <w:p>
      <w:pPr>
        <w:tabs>
          <w:tab w:val="left" w:pos="3280"/>
          <w:tab w:val="left" w:pos="4680"/>
          <w:tab w:val="left" w:pos="6080"/>
        </w:tabs>
        <w:autoSpaceDE w:val="0"/>
        <w:autoSpaceDN w:val="0"/>
        <w:adjustRightInd w:val="0"/>
        <w:snapToGrid w:val="0"/>
        <w:spacing w:line="480" w:lineRule="auto"/>
        <w:jc w:val="center"/>
        <w:rPr>
          <w:rFonts w:ascii="宋体" w:hAnsi="宋体" w:cs="MingLiU"/>
          <w:b/>
          <w:w w:val="99"/>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p>
      <w:pPr>
        <w:autoSpaceDE w:val="0"/>
        <w:autoSpaceDN w:val="0"/>
        <w:adjustRightInd w:val="0"/>
        <w:snapToGrid w:val="0"/>
        <w:spacing w:line="288" w:lineRule="auto"/>
        <w:jc w:val="center"/>
        <w:rPr>
          <w:rFonts w:ascii="宋体" w:hAnsi="宋体" w:cs="MingLiU"/>
          <w:b/>
          <w:kern w:val="0"/>
          <w:sz w:val="32"/>
          <w:szCs w:val="32"/>
        </w:rPr>
      </w:pPr>
      <w:r>
        <w:rPr>
          <w:rFonts w:hint="eastAsia" w:ascii="宋体" w:hAnsi="宋体" w:cs="MingLiU"/>
          <w:b/>
          <w:kern w:val="0"/>
          <w:sz w:val="32"/>
          <w:szCs w:val="32"/>
        </w:rPr>
        <w:t>目     录</w:t>
      </w:r>
    </w:p>
    <w:p>
      <w:pPr>
        <w:autoSpaceDE w:val="0"/>
        <w:autoSpaceDN w:val="0"/>
        <w:adjustRightInd w:val="0"/>
        <w:snapToGrid w:val="0"/>
        <w:spacing w:line="288" w:lineRule="auto"/>
        <w:ind w:firstLine="480" w:firstLineChars="200"/>
        <w:jc w:val="left"/>
        <w:rPr>
          <w:rFonts w:ascii="宋体" w:hAnsi="宋体"/>
          <w:kern w:val="0"/>
          <w:sz w:val="24"/>
        </w:rPr>
      </w:pPr>
    </w:p>
    <w:p>
      <w:pPr>
        <w:autoSpaceDE w:val="0"/>
        <w:autoSpaceDN w:val="0"/>
        <w:adjustRightInd w:val="0"/>
        <w:snapToGrid w:val="0"/>
        <w:spacing w:line="288" w:lineRule="auto"/>
        <w:ind w:firstLine="480" w:firstLineChars="200"/>
        <w:jc w:val="left"/>
        <w:rPr>
          <w:rFonts w:ascii="宋体" w:hAnsi="宋体"/>
          <w:kern w:val="0"/>
          <w:sz w:val="24"/>
        </w:rPr>
      </w:pPr>
    </w:p>
    <w:p>
      <w:pPr>
        <w:autoSpaceDE w:val="0"/>
        <w:autoSpaceDN w:val="0"/>
        <w:adjustRightInd w:val="0"/>
        <w:snapToGrid w:val="0"/>
        <w:spacing w:line="288" w:lineRule="auto"/>
        <w:ind w:firstLine="480" w:firstLineChars="200"/>
        <w:jc w:val="left"/>
        <w:rPr>
          <w:rFonts w:ascii="宋体" w:hAnsi="宋体"/>
          <w:kern w:val="0"/>
          <w:sz w:val="24"/>
        </w:rPr>
      </w:pPr>
    </w:p>
    <w:p>
      <w:pPr>
        <w:autoSpaceDE w:val="0"/>
        <w:autoSpaceDN w:val="0"/>
        <w:adjustRightInd w:val="0"/>
        <w:snapToGrid w:val="0"/>
        <w:spacing w:line="288" w:lineRule="auto"/>
        <w:ind w:firstLine="480" w:firstLineChars="200"/>
        <w:jc w:val="left"/>
        <w:rPr>
          <w:rFonts w:ascii="宋体" w:hAnsi="宋体"/>
          <w:kern w:val="0"/>
          <w:sz w:val="24"/>
        </w:rPr>
      </w:pPr>
      <w:r>
        <w:rPr>
          <w:rFonts w:hint="eastAsia" w:ascii="宋体" w:hAnsi="宋体"/>
          <w:kern w:val="0"/>
          <w:sz w:val="24"/>
        </w:rPr>
        <w:t>[目录由竞标人自行编制]</w:t>
      </w: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center"/>
        <w:rPr>
          <w:rFonts w:ascii="宋体" w:hAnsi="宋体"/>
          <w:b/>
          <w:bCs/>
          <w:sz w:val="32"/>
          <w:szCs w:val="32"/>
        </w:rPr>
      </w:pPr>
      <w:bookmarkStart w:id="768" w:name="_Toc371275054"/>
      <w:bookmarkStart w:id="769" w:name="_Toc224103501"/>
      <w:bookmarkStart w:id="770" w:name="_Toc277082648"/>
      <w:bookmarkStart w:id="771" w:name="_Toc287607873"/>
      <w:bookmarkStart w:id="772" w:name="_Toc347847888"/>
      <w:r>
        <w:rPr>
          <w:rFonts w:hint="eastAsia" w:ascii="宋体" w:hAnsi="宋体"/>
          <w:b/>
          <w:bCs/>
          <w:sz w:val="32"/>
          <w:szCs w:val="32"/>
        </w:rPr>
        <w:t>已标价工程量清单</w:t>
      </w:r>
      <w:bookmarkEnd w:id="768"/>
      <w:bookmarkEnd w:id="769"/>
      <w:bookmarkEnd w:id="770"/>
      <w:bookmarkEnd w:id="771"/>
      <w:bookmarkEnd w:id="772"/>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r>
        <w:rPr>
          <w:rFonts w:hint="eastAsia" w:ascii="宋体" w:hAnsi="宋体"/>
        </w:rPr>
        <w:t xml:space="preserve">                     </w:t>
      </w: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rPr>
      </w:pPr>
    </w:p>
    <w:p>
      <w:pPr>
        <w:autoSpaceDE w:val="0"/>
        <w:autoSpaceDN w:val="0"/>
        <w:adjustRightInd w:val="0"/>
        <w:snapToGrid w:val="0"/>
        <w:spacing w:line="288" w:lineRule="auto"/>
        <w:jc w:val="left"/>
        <w:rPr>
          <w:rFonts w:ascii="宋体" w:hAnsi="宋体"/>
          <w:kern w:val="0"/>
        </w:rPr>
      </w:pPr>
    </w:p>
    <w:p>
      <w:pPr>
        <w:pStyle w:val="5"/>
        <w:spacing w:line="288" w:lineRule="auto"/>
        <w:jc w:val="center"/>
        <w:rPr>
          <w:rFonts w:ascii="宋体" w:eastAsia="宋体"/>
          <w:bCs/>
          <w:sz w:val="32"/>
        </w:rPr>
      </w:pPr>
      <w:bookmarkStart w:id="773" w:name="_Toc451342723"/>
    </w:p>
    <w:p>
      <w:pPr>
        <w:pStyle w:val="5"/>
        <w:spacing w:line="288" w:lineRule="auto"/>
        <w:jc w:val="center"/>
        <w:rPr>
          <w:rFonts w:ascii="宋体" w:eastAsia="宋体"/>
          <w:bCs/>
          <w:sz w:val="32"/>
        </w:rPr>
      </w:pPr>
      <w:bookmarkStart w:id="774" w:name="_Toc488005266"/>
      <w:bookmarkStart w:id="775" w:name="_Toc54249522"/>
      <w:r>
        <w:rPr>
          <w:rFonts w:hint="eastAsia" w:ascii="宋体" w:eastAsia="宋体"/>
          <w:bCs/>
          <w:sz w:val="32"/>
        </w:rPr>
        <w:t>三、资格审查资料</w:t>
      </w:r>
      <w:bookmarkEnd w:id="773"/>
      <w:bookmarkEnd w:id="774"/>
      <w:bookmarkEnd w:id="775"/>
    </w:p>
    <w:p>
      <w:pPr>
        <w:adjustRightInd w:val="0"/>
        <w:snapToGrid w:val="0"/>
        <w:spacing w:line="288" w:lineRule="auto"/>
        <w:rPr>
          <w:rFonts w:ascii="宋体" w:hAnsi="宋体"/>
          <w:sz w:val="32"/>
          <w:szCs w:val="32"/>
        </w:rPr>
      </w:pPr>
    </w:p>
    <w:p>
      <w:pPr>
        <w:adjustRightInd w:val="0"/>
        <w:snapToGrid w:val="0"/>
        <w:spacing w:line="288" w:lineRule="auto"/>
        <w:rPr>
          <w:rFonts w:ascii="宋体" w:hAnsi="宋体"/>
          <w:sz w:val="32"/>
          <w:szCs w:val="32"/>
        </w:rPr>
      </w:pPr>
    </w:p>
    <w:p>
      <w:pPr>
        <w:spacing w:line="288" w:lineRule="auto"/>
        <w:rPr>
          <w:rFonts w:ascii="宋体" w:hAnsi="宋体"/>
          <w:sz w:val="32"/>
          <w:szCs w:val="32"/>
        </w:rPr>
      </w:pPr>
    </w:p>
    <w:p>
      <w:pPr>
        <w:spacing w:line="288" w:lineRule="auto"/>
        <w:rPr>
          <w:rFonts w:ascii="宋体" w:hAnsi="宋体"/>
          <w:sz w:val="32"/>
          <w:szCs w:val="32"/>
        </w:rPr>
      </w:pPr>
    </w:p>
    <w:p>
      <w:pPr>
        <w:spacing w:line="288" w:lineRule="auto"/>
        <w:rPr>
          <w:rFonts w:ascii="宋体" w:hAnsi="宋体"/>
          <w:sz w:val="32"/>
          <w:szCs w:val="32"/>
        </w:rPr>
      </w:pPr>
    </w:p>
    <w:p>
      <w:pPr>
        <w:spacing w:line="288" w:lineRule="auto"/>
        <w:rPr>
          <w:rFonts w:ascii="宋体" w:hAnsi="宋体"/>
          <w:sz w:val="32"/>
          <w:szCs w:val="32"/>
        </w:rPr>
      </w:pPr>
    </w:p>
    <w:p>
      <w:pPr>
        <w:spacing w:line="288" w:lineRule="auto"/>
        <w:rPr>
          <w:rFonts w:ascii="宋体" w:hAnsi="宋体"/>
          <w:sz w:val="32"/>
          <w:szCs w:val="32"/>
        </w:rPr>
      </w:pPr>
    </w:p>
    <w:p>
      <w:pPr>
        <w:spacing w:line="288" w:lineRule="auto"/>
        <w:rPr>
          <w:rFonts w:ascii="宋体" w:hAnsi="宋体"/>
          <w:sz w:val="32"/>
          <w:szCs w:val="32"/>
        </w:rPr>
      </w:pPr>
    </w:p>
    <w:p>
      <w:pPr>
        <w:spacing w:line="288" w:lineRule="auto"/>
        <w:rPr>
          <w:rFonts w:ascii="宋体" w:hAnsi="宋体"/>
          <w:sz w:val="32"/>
          <w:szCs w:val="32"/>
        </w:rPr>
      </w:pPr>
    </w:p>
    <w:p>
      <w:pPr>
        <w:spacing w:line="288" w:lineRule="auto"/>
        <w:rPr>
          <w:rFonts w:ascii="宋体" w:hAnsi="宋体"/>
          <w:sz w:val="32"/>
          <w:szCs w:val="32"/>
        </w:rPr>
      </w:pPr>
    </w:p>
    <w:p>
      <w:pPr>
        <w:spacing w:line="288" w:lineRule="auto"/>
        <w:rPr>
          <w:rFonts w:ascii="宋体" w:hAnsi="宋体"/>
          <w:sz w:val="32"/>
          <w:szCs w:val="32"/>
        </w:rPr>
      </w:pPr>
    </w:p>
    <w:p>
      <w:pPr>
        <w:spacing w:line="288" w:lineRule="auto"/>
        <w:rPr>
          <w:rFonts w:ascii="宋体" w:hAnsi="宋体"/>
          <w:sz w:val="32"/>
          <w:szCs w:val="32"/>
        </w:rPr>
      </w:pPr>
    </w:p>
    <w:p>
      <w:pPr>
        <w:spacing w:line="288" w:lineRule="auto"/>
        <w:rPr>
          <w:rFonts w:ascii="宋体" w:hAnsi="宋体"/>
          <w:sz w:val="32"/>
          <w:szCs w:val="32"/>
        </w:rPr>
      </w:pPr>
    </w:p>
    <w:p>
      <w:pPr>
        <w:spacing w:line="288" w:lineRule="auto"/>
        <w:rPr>
          <w:rFonts w:ascii="宋体" w:hAnsi="宋体"/>
          <w:sz w:val="32"/>
          <w:szCs w:val="32"/>
        </w:rPr>
      </w:pPr>
    </w:p>
    <w:p>
      <w:pPr>
        <w:spacing w:line="288" w:lineRule="auto"/>
        <w:rPr>
          <w:rFonts w:ascii="宋体" w:hAnsi="宋体"/>
          <w:sz w:val="32"/>
          <w:szCs w:val="32"/>
        </w:rPr>
      </w:pPr>
    </w:p>
    <w:p>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r>
        <w:rPr>
          <w:rFonts w:hint="eastAsia" w:ascii="宋体" w:hAnsi="宋体"/>
          <w:sz w:val="32"/>
          <w:szCs w:val="32"/>
        </w:rPr>
        <w:br w:type="page"/>
      </w:r>
    </w:p>
    <w:p>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Pr>
          <w:rFonts w:hint="eastAsia" w:ascii="宋体" w:hAnsi="宋体"/>
          <w:b/>
          <w:kern w:val="0"/>
          <w:sz w:val="28"/>
          <w:szCs w:val="28"/>
          <w:u w:val="single"/>
        </w:rPr>
        <w:tab/>
      </w:r>
      <w:r>
        <w:rPr>
          <w:rFonts w:hint="eastAsia" w:ascii="宋体" w:hAnsi="宋体" w:cs="MingLiU"/>
          <w:b/>
          <w:w w:val="99"/>
          <w:kern w:val="0"/>
          <w:sz w:val="28"/>
          <w:szCs w:val="28"/>
        </w:rPr>
        <w:t>（项目名称</w:t>
      </w:r>
      <w:r>
        <w:rPr>
          <w:rFonts w:hint="eastAsia" w:ascii="宋体" w:hAnsi="宋体" w:cs="MingLiU"/>
          <w:b/>
          <w:spacing w:val="1"/>
          <w:w w:val="99"/>
          <w:kern w:val="0"/>
          <w:sz w:val="28"/>
          <w:szCs w:val="28"/>
        </w:rPr>
        <w:t>）</w:t>
      </w:r>
      <w:r>
        <w:rPr>
          <w:rFonts w:hint="eastAsia" w:ascii="宋体" w:hAnsi="宋体" w:cs="MingLiU"/>
          <w:b/>
          <w:w w:val="99"/>
          <w:kern w:val="0"/>
          <w:sz w:val="28"/>
          <w:szCs w:val="28"/>
        </w:rPr>
        <w:t>施工招标</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Pr>
          <w:rFonts w:hint="eastAsia" w:ascii="宋体" w:hAnsi="宋体" w:cs="MingLiU"/>
          <w:b/>
          <w:kern w:val="0"/>
          <w:sz w:val="84"/>
          <w:szCs w:val="84"/>
        </w:rPr>
        <w:t>竞  标  文  件</w:t>
      </w:r>
    </w:p>
    <w:p>
      <w:pPr>
        <w:autoSpaceDE w:val="0"/>
        <w:autoSpaceDN w:val="0"/>
        <w:adjustRightInd w:val="0"/>
        <w:snapToGrid w:val="0"/>
        <w:spacing w:line="288" w:lineRule="auto"/>
        <w:jc w:val="left"/>
        <w:rPr>
          <w:rFonts w:ascii="宋体" w:hAnsi="宋体" w:cs="MingLiU"/>
          <w:kern w:val="0"/>
          <w:sz w:val="16"/>
          <w:szCs w:val="16"/>
        </w:rPr>
      </w:pPr>
    </w:p>
    <w:p>
      <w:pPr>
        <w:autoSpaceDE w:val="0"/>
        <w:autoSpaceDN w:val="0"/>
        <w:adjustRightInd w:val="0"/>
        <w:snapToGrid w:val="0"/>
        <w:spacing w:line="288" w:lineRule="auto"/>
        <w:jc w:val="center"/>
        <w:rPr>
          <w:rFonts w:ascii="宋体" w:hAnsi="宋体" w:cs="MingLiU"/>
          <w:b/>
          <w:kern w:val="0"/>
          <w:sz w:val="36"/>
          <w:szCs w:val="36"/>
        </w:rPr>
      </w:pPr>
      <w:r>
        <w:rPr>
          <w:rFonts w:hint="eastAsia" w:ascii="宋体" w:hAnsi="宋体" w:cs="MingLiU"/>
          <w:b/>
          <w:kern w:val="0"/>
          <w:sz w:val="36"/>
          <w:szCs w:val="36"/>
        </w:rPr>
        <w:t>资格审查资料</w:t>
      </w: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autoSpaceDE w:val="0"/>
        <w:autoSpaceDN w:val="0"/>
        <w:adjustRightInd w:val="0"/>
        <w:snapToGrid w:val="0"/>
        <w:spacing w:line="288" w:lineRule="auto"/>
        <w:jc w:val="left"/>
        <w:rPr>
          <w:rFonts w:ascii="宋体" w:hAnsi="宋体" w:cs="MingLiU"/>
          <w:b/>
          <w:kern w:val="0"/>
          <w:sz w:val="20"/>
          <w:szCs w:val="20"/>
        </w:rPr>
      </w:pPr>
    </w:p>
    <w:p>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hint="eastAsia" w:ascii="宋体" w:hAnsi="宋体" w:cs="MingLiU"/>
          <w:b/>
          <w:w w:val="99"/>
          <w:kern w:val="0"/>
          <w:sz w:val="28"/>
          <w:szCs w:val="28"/>
        </w:rPr>
        <w:t>竞标人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（盖单位公章）</w:t>
      </w:r>
    </w:p>
    <w:p>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w:t>
      </w:r>
      <w:r>
        <w:rPr>
          <w:rFonts w:hint="eastAsia" w:ascii="宋体" w:hAnsi="宋体" w:cs="宋体"/>
          <w:b/>
          <w:w w:val="99"/>
          <w:kern w:val="0"/>
          <w:sz w:val="28"/>
          <w:szCs w:val="28"/>
        </w:rPr>
        <w:t>签字或盖章</w:t>
      </w:r>
      <w:r>
        <w:rPr>
          <w:rFonts w:hint="eastAsia" w:ascii="宋体" w:hAnsi="宋体" w:cs="MingLiU"/>
          <w:b/>
          <w:w w:val="99"/>
          <w:kern w:val="0"/>
          <w:sz w:val="28"/>
          <w:szCs w:val="28"/>
        </w:rPr>
        <w:t>）</w:t>
      </w:r>
    </w:p>
    <w:p>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p>
      <w:pPr>
        <w:spacing w:line="288" w:lineRule="auto"/>
        <w:rPr>
          <w:rFonts w:ascii="宋体" w:hAnsi="宋体" w:cs="MingLiU"/>
          <w:b/>
          <w:kern w:val="0"/>
          <w:sz w:val="32"/>
          <w:szCs w:val="32"/>
        </w:rPr>
      </w:pPr>
    </w:p>
    <w:p>
      <w:pPr>
        <w:spacing w:line="288" w:lineRule="auto"/>
        <w:jc w:val="center"/>
        <w:rPr>
          <w:rFonts w:ascii="宋体" w:hAnsi="宋体" w:cs="MingLiU"/>
          <w:b/>
          <w:kern w:val="0"/>
          <w:sz w:val="32"/>
          <w:szCs w:val="32"/>
        </w:rPr>
      </w:pPr>
    </w:p>
    <w:p>
      <w:pPr>
        <w:spacing w:line="288" w:lineRule="auto"/>
        <w:jc w:val="center"/>
        <w:rPr>
          <w:rFonts w:ascii="宋体" w:hAnsi="宋体" w:cs="MingLiU"/>
          <w:b/>
          <w:kern w:val="0"/>
          <w:sz w:val="32"/>
          <w:szCs w:val="32"/>
        </w:rPr>
      </w:pPr>
      <w:r>
        <w:rPr>
          <w:rFonts w:hint="eastAsia" w:ascii="宋体" w:hAnsi="宋体" w:cs="MingLiU"/>
          <w:b/>
          <w:kern w:val="0"/>
          <w:sz w:val="32"/>
          <w:szCs w:val="32"/>
        </w:rPr>
        <w:t>目    录</w:t>
      </w:r>
    </w:p>
    <w:p>
      <w:pPr>
        <w:spacing w:line="288" w:lineRule="auto"/>
        <w:jc w:val="center"/>
        <w:rPr>
          <w:rFonts w:ascii="宋体" w:hAnsi="宋体" w:cs="MingLiU"/>
          <w:b/>
          <w:kern w:val="0"/>
          <w:sz w:val="32"/>
          <w:szCs w:val="32"/>
        </w:rPr>
      </w:pP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（一）法定代表人身份证明及授权委托书</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（二）竞标人基本情况表</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（三）项目管理机构</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（四）近年完成的类似项目情况表</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（五）投标截止日资格情况</w:t>
      </w:r>
    </w:p>
    <w:p>
      <w:pPr>
        <w:autoSpaceDE w:val="0"/>
        <w:autoSpaceDN w:val="0"/>
        <w:adjustRightInd w:val="0"/>
        <w:spacing w:line="288" w:lineRule="auto"/>
        <w:ind w:right="-20"/>
        <w:jc w:val="left"/>
        <w:rPr>
          <w:rFonts w:ascii="宋体" w:hAnsi="宋体" w:cs="MingLiU"/>
          <w:kern w:val="0"/>
          <w:sz w:val="24"/>
        </w:rPr>
      </w:pPr>
      <w:r>
        <w:rPr>
          <w:rFonts w:hint="eastAsia" w:ascii="宋体" w:hAnsi="宋体" w:cs="MingLiU"/>
          <w:kern w:val="0"/>
          <w:sz w:val="24"/>
        </w:rPr>
        <w:t>（六）其他资料</w:t>
      </w: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pStyle w:val="6"/>
        <w:spacing w:line="288" w:lineRule="auto"/>
        <w:jc w:val="center"/>
        <w:rPr>
          <w:rFonts w:ascii="宋体" w:eastAsia="宋体"/>
          <w:sz w:val="28"/>
        </w:rPr>
      </w:pPr>
      <w:bookmarkStart w:id="776" w:name="_Toc450050404"/>
      <w:bookmarkStart w:id="777" w:name="_Toc451342724"/>
      <w:bookmarkStart w:id="778" w:name="_Toc287607883"/>
      <w:bookmarkStart w:id="779" w:name="_Toc277082657"/>
      <w:bookmarkStart w:id="780" w:name="_Toc12406"/>
      <w:bookmarkStart w:id="781" w:name="_Toc287620830"/>
    </w:p>
    <w:p>
      <w:pPr>
        <w:pStyle w:val="6"/>
        <w:spacing w:line="288" w:lineRule="auto"/>
        <w:jc w:val="center"/>
        <w:rPr>
          <w:rFonts w:ascii="宋体" w:eastAsia="宋体"/>
          <w:b w:val="0"/>
          <w:sz w:val="28"/>
        </w:rPr>
      </w:pPr>
      <w:bookmarkStart w:id="782" w:name="_Toc54249523"/>
      <w:r>
        <w:rPr>
          <w:rFonts w:hint="eastAsia" w:ascii="宋体" w:eastAsia="宋体"/>
          <w:sz w:val="28"/>
        </w:rPr>
        <w:t>（一）法定代表人身份证明及授权委托书</w:t>
      </w:r>
      <w:bookmarkEnd w:id="776"/>
      <w:bookmarkEnd w:id="777"/>
      <w:bookmarkEnd w:id="778"/>
      <w:bookmarkEnd w:id="779"/>
      <w:bookmarkEnd w:id="780"/>
      <w:bookmarkEnd w:id="781"/>
      <w:bookmarkEnd w:id="782"/>
    </w:p>
    <w:p>
      <w:pPr>
        <w:spacing w:line="288" w:lineRule="auto"/>
        <w:jc w:val="center"/>
        <w:rPr>
          <w:rFonts w:ascii="宋体" w:hAnsi="宋体"/>
          <w:b/>
        </w:rPr>
      </w:pPr>
      <w:r>
        <w:rPr>
          <w:rFonts w:hint="eastAsia" w:ascii="宋体" w:hAnsi="宋体"/>
          <w:b/>
          <w:sz w:val="28"/>
        </w:rPr>
        <w:t>法定代表人身份证明</w:t>
      </w:r>
    </w:p>
    <w:p>
      <w:pPr>
        <w:spacing w:line="288" w:lineRule="auto"/>
        <w:ind w:left="765"/>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竞标人名称：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2520"/>
          <w:tab w:val="left" w:pos="3836"/>
        </w:tabs>
        <w:autoSpaceDE w:val="0"/>
        <w:autoSpaceDN w:val="0"/>
        <w:adjustRightInd w:val="0"/>
        <w:snapToGrid w:val="0"/>
        <w:spacing w:line="480" w:lineRule="auto"/>
        <w:ind w:firstLine="390" w:firstLineChars="186"/>
        <w:jc w:val="left"/>
        <w:rPr>
          <w:rFonts w:ascii="宋体" w:hAnsi="宋体" w:cs="MingLiU"/>
          <w:kern w:val="0"/>
          <w:sz w:val="10"/>
          <w:szCs w:val="10"/>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3360"/>
        </w:tabs>
        <w:autoSpaceDE w:val="0"/>
        <w:autoSpaceDN w:val="0"/>
        <w:adjustRightInd w:val="0"/>
        <w:snapToGrid w:val="0"/>
        <w:spacing w:line="480" w:lineRule="auto"/>
        <w:ind w:firstLine="390" w:firstLineChars="186"/>
        <w:jc w:val="left"/>
        <w:rPr>
          <w:rFonts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（竞标人名称）的法定代表人。</w:t>
      </w:r>
    </w:p>
    <w:p>
      <w:pPr>
        <w:autoSpaceDE w:val="0"/>
        <w:autoSpaceDN w:val="0"/>
        <w:adjustRightInd w:val="0"/>
        <w:snapToGrid w:val="0"/>
        <w:spacing w:line="288" w:lineRule="auto"/>
        <w:ind w:firstLine="186" w:firstLineChars="186"/>
        <w:jc w:val="left"/>
        <w:rPr>
          <w:rFonts w:ascii="宋体" w:hAnsi="宋体" w:cs="MingLiU"/>
          <w:kern w:val="0"/>
          <w:sz w:val="10"/>
          <w:szCs w:val="10"/>
        </w:rPr>
      </w:pPr>
    </w:p>
    <w:p>
      <w:pPr>
        <w:autoSpaceDE w:val="0"/>
        <w:autoSpaceDN w:val="0"/>
        <w:adjustRightInd w:val="0"/>
        <w:snapToGrid w:val="0"/>
        <w:spacing w:line="288" w:lineRule="auto"/>
        <w:ind w:firstLine="810" w:firstLineChars="386"/>
        <w:jc w:val="left"/>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tabs>
          <w:tab w:val="left" w:pos="5460"/>
        </w:tabs>
        <w:autoSpaceDE w:val="0"/>
        <w:autoSpaceDN w:val="0"/>
        <w:adjustRightInd w:val="0"/>
        <w:snapToGrid w:val="0"/>
        <w:spacing w:line="288" w:lineRule="auto"/>
        <w:ind w:firstLine="2100"/>
        <w:jc w:val="left"/>
        <w:rPr>
          <w:rFonts w:ascii="宋体" w:hAnsi="宋体" w:cs="MingLiU"/>
          <w:kern w:val="0"/>
          <w:szCs w:val="21"/>
        </w:rPr>
      </w:pPr>
      <w:r>
        <w:rPr>
          <w:rFonts w:hint="eastAsia" w:ascii="宋体" w:hAnsi="宋体" w:cs="MingLiU"/>
          <w:kern w:val="0"/>
          <w:szCs w:val="21"/>
        </w:rPr>
        <w:t>竞标人：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288" w:lineRule="auto"/>
        <w:jc w:val="left"/>
        <w:rPr>
          <w:rFonts w:ascii="宋体" w:hAnsi="宋体" w:cs="MingLiU"/>
          <w:kern w:val="0"/>
          <w:sz w:val="20"/>
          <w:szCs w:val="20"/>
        </w:rPr>
      </w:pPr>
    </w:p>
    <w:p>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288" w:lineRule="auto"/>
        <w:jc w:val="left"/>
        <w:rPr>
          <w:rFonts w:ascii="宋体" w:hAnsi="宋体"/>
          <w:kern w:val="0"/>
        </w:rPr>
      </w:pPr>
    </w:p>
    <w:tbl>
      <w:tblPr>
        <w:tblStyle w:val="49"/>
        <w:tblpPr w:leftFromText="180" w:rightFromText="180" w:vertAnchor="text" w:horzAnchor="margin" w:tblpY="1275"/>
        <w:tblW w:w="4023"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023"/>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8" w:hRule="atLeast"/>
        </w:trPr>
        <w:tc>
          <w:tcPr>
            <w:tcW w:w="4023"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Cs w:val="21"/>
              </w:rPr>
            </w:pPr>
            <w:r>
              <w:rPr>
                <w:rFonts w:hint="eastAsia" w:ascii="宋体" w:hAnsi="宋体"/>
                <w:b/>
                <w:szCs w:val="21"/>
              </w:rPr>
              <w:t>法定代表人身份证复印件或扫描件</w:t>
            </w:r>
          </w:p>
          <w:p>
            <w:pPr>
              <w:spacing w:line="288" w:lineRule="auto"/>
              <w:jc w:val="center"/>
              <w:rPr>
                <w:rFonts w:ascii="宋体" w:hAnsi="宋体"/>
                <w:b/>
                <w:szCs w:val="21"/>
              </w:rPr>
            </w:pPr>
            <w:r>
              <w:rPr>
                <w:rFonts w:hint="eastAsia" w:ascii="宋体" w:hAnsi="宋体"/>
                <w:b/>
                <w:szCs w:val="21"/>
              </w:rPr>
              <w:t>（</w:t>
            </w:r>
            <w:r>
              <w:rPr>
                <w:rFonts w:hint="eastAsia" w:ascii="宋体" w:hAnsi="宋体"/>
                <w:b/>
                <w:sz w:val="28"/>
                <w:szCs w:val="28"/>
              </w:rPr>
              <w:t>双面</w:t>
            </w:r>
            <w:r>
              <w:rPr>
                <w:rFonts w:hint="eastAsia" w:ascii="宋体" w:hAnsi="宋体"/>
                <w:b/>
                <w:szCs w:val="21"/>
              </w:rPr>
              <w:t>）</w:t>
            </w:r>
          </w:p>
          <w:p>
            <w:pPr>
              <w:spacing w:line="288" w:lineRule="auto"/>
              <w:rPr>
                <w:rFonts w:ascii="宋体" w:hAnsi="宋体"/>
                <w:b/>
                <w:szCs w:val="21"/>
              </w:rPr>
            </w:pPr>
          </w:p>
          <w:p>
            <w:pPr>
              <w:spacing w:line="288" w:lineRule="auto"/>
              <w:rPr>
                <w:rFonts w:ascii="宋体" w:hAnsi="宋体"/>
                <w:b/>
                <w:szCs w:val="21"/>
              </w:rPr>
            </w:pPr>
          </w:p>
        </w:tc>
      </w:tr>
    </w:tbl>
    <w:p>
      <w:pPr>
        <w:autoSpaceDE w:val="0"/>
        <w:autoSpaceDN w:val="0"/>
        <w:adjustRightInd w:val="0"/>
        <w:snapToGrid w:val="0"/>
        <w:spacing w:line="288" w:lineRule="auto"/>
        <w:jc w:val="left"/>
        <w:rPr>
          <w:rFonts w:ascii="宋体" w:hAnsi="宋体"/>
          <w:kern w:val="0"/>
          <w:szCs w:val="21"/>
        </w:rPr>
      </w:pPr>
      <w:r>
        <w:rPr>
          <w:rFonts w:hint="eastAsia" w:ascii="宋体" w:hAnsi="宋体"/>
          <w:b/>
          <w:szCs w:val="21"/>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spacing w:line="288" w:lineRule="auto"/>
        <w:rPr>
          <w:rFonts w:ascii="宋体" w:hAnsi="宋体"/>
        </w:rPr>
      </w:pPr>
    </w:p>
    <w:p>
      <w:pPr>
        <w:spacing w:line="288" w:lineRule="auto"/>
        <w:rPr>
          <w:rFonts w:ascii="宋体" w:hAnsi="宋体"/>
        </w:rPr>
      </w:pPr>
    </w:p>
    <w:p>
      <w:pPr>
        <w:spacing w:line="288" w:lineRule="auto"/>
        <w:rPr>
          <w:rFonts w:ascii="宋体" w:hAnsi="宋体"/>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288" w:lineRule="auto"/>
        <w:jc w:val="left"/>
        <w:rPr>
          <w:rFonts w:ascii="宋体" w:hAnsi="宋体" w:cs="MingLiU"/>
          <w:kern w:val="0"/>
          <w:sz w:val="12"/>
          <w:szCs w:val="12"/>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（姓名）系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cs="MingLiU"/>
          <w:spacing w:val="-1"/>
          <w:kern w:val="0"/>
          <w:szCs w:val="21"/>
        </w:rPr>
        <w:t>竞标人</w:t>
      </w:r>
      <w:r>
        <w:rPr>
          <w:rFonts w:hint="eastAsia" w:ascii="宋体" w:hAnsi="宋体" w:cs="MingLiU"/>
          <w:kern w:val="0"/>
          <w:szCs w:val="21"/>
        </w:rPr>
        <w:t>名称</w:t>
      </w:r>
      <w:r>
        <w:rPr>
          <w:rFonts w:hint="eastAsia" w:ascii="宋体" w:hAnsi="宋体" w:cs="MingLiU"/>
          <w:spacing w:val="1"/>
          <w:kern w:val="0"/>
          <w:szCs w:val="21"/>
        </w:rPr>
        <w:t>）</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（姓</w:t>
      </w:r>
      <w:r>
        <w:rPr>
          <w:rFonts w:hint="eastAsia" w:ascii="宋体" w:hAnsi="宋体"/>
          <w:kern w:val="0"/>
          <w:szCs w:val="21"/>
        </w:rPr>
        <w:t xml:space="preserve"> </w:t>
      </w:r>
      <w:r>
        <w:rPr>
          <w:rFonts w:hint="eastAsia" w:ascii="宋体" w:hAnsi="宋体" w:cs="MingLiU"/>
          <w:kern w:val="0"/>
          <w:szCs w:val="21"/>
        </w:rPr>
        <w:t>名）为我方代理人。代理人根据授权，以我方名义签署、澄清、说明、补正、递交、撤回、</w:t>
      </w:r>
      <w:r>
        <w:rPr>
          <w:rFonts w:hint="eastAsia" w:ascii="宋体" w:hAnsi="宋体"/>
          <w:kern w:val="0"/>
          <w:szCs w:val="21"/>
        </w:rPr>
        <w:t xml:space="preserve"> </w:t>
      </w:r>
      <w:r>
        <w:rPr>
          <w:rFonts w:hint="eastAsia" w:ascii="宋体" w:hAnsi="宋体" w:cs="MingLiU"/>
          <w:kern w:val="0"/>
          <w:szCs w:val="21"/>
        </w:rPr>
        <w:t>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（项</w:t>
      </w:r>
      <w:r>
        <w:rPr>
          <w:rFonts w:hint="eastAsia" w:ascii="宋体" w:hAnsi="宋体" w:cs="MingLiU"/>
          <w:spacing w:val="-1"/>
          <w:kern w:val="0"/>
          <w:szCs w:val="21"/>
        </w:rPr>
        <w:t>目</w:t>
      </w:r>
      <w:r>
        <w:rPr>
          <w:rFonts w:hint="eastAsia" w:ascii="宋体" w:hAnsi="宋体" w:cs="MingLiU"/>
          <w:kern w:val="0"/>
          <w:szCs w:val="21"/>
        </w:rPr>
        <w:t>名称）施工竞标文件、签订合同和处理有关事宜，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hint="eastAsia" w:ascii="宋体" w:hAnsi="宋体" w:cs="MingLiU"/>
          <w:kern w:val="0"/>
          <w:szCs w:val="21"/>
        </w:rPr>
        <w:t>代理人无转委托权。</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hint="eastAsia" w:ascii="宋体" w:hAnsi="宋体" w:cs="MingLiU"/>
          <w:kern w:val="0"/>
          <w:szCs w:val="21"/>
        </w:rPr>
        <w:t>附：法定代表人身份证明。</w:t>
      </w:r>
    </w:p>
    <w:p>
      <w:pPr>
        <w:autoSpaceDE w:val="0"/>
        <w:autoSpaceDN w:val="0"/>
        <w:adjustRightInd w:val="0"/>
        <w:snapToGrid w:val="0"/>
        <w:spacing w:line="288" w:lineRule="auto"/>
        <w:jc w:val="left"/>
        <w:rPr>
          <w:rFonts w:ascii="宋体" w:hAnsi="宋体" w:cs="MingLiU"/>
          <w:kern w:val="0"/>
          <w:sz w:val="12"/>
          <w:szCs w:val="12"/>
        </w:rPr>
      </w:pPr>
    </w:p>
    <w:p>
      <w:pPr>
        <w:autoSpaceDE w:val="0"/>
        <w:autoSpaceDN w:val="0"/>
        <w:adjustRightInd w:val="0"/>
        <w:snapToGrid w:val="0"/>
        <w:spacing w:line="288" w:lineRule="auto"/>
        <w:jc w:val="left"/>
        <w:rPr>
          <w:rFonts w:ascii="宋体" w:hAnsi="宋体" w:cs="MingLiU"/>
          <w:kern w:val="0"/>
          <w:sz w:val="20"/>
          <w:szCs w:val="20"/>
        </w:rPr>
      </w:pPr>
    </w:p>
    <w:p>
      <w:pPr>
        <w:tabs>
          <w:tab w:val="left" w:pos="4200"/>
          <w:tab w:val="left" w:pos="4620"/>
        </w:tabs>
        <w:autoSpaceDE w:val="0"/>
        <w:autoSpaceDN w:val="0"/>
        <w:adjustRightInd w:val="0"/>
        <w:snapToGrid w:val="0"/>
        <w:spacing w:line="288" w:lineRule="auto"/>
        <w:ind w:firstLine="1694"/>
        <w:jc w:val="left"/>
        <w:rPr>
          <w:rFonts w:ascii="宋体" w:hAnsi="宋体"/>
          <w:kern w:val="0"/>
          <w:szCs w:val="21"/>
        </w:rPr>
      </w:pPr>
      <w:r>
        <w:rPr>
          <w:rFonts w:hint="eastAsia" w:ascii="宋体" w:hAnsi="宋体" w:cs="MingLiU"/>
          <w:kern w:val="0"/>
          <w:szCs w:val="21"/>
        </w:rPr>
        <w:t>投  标  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tabs>
          <w:tab w:val="left" w:pos="6300"/>
        </w:tabs>
        <w:autoSpaceDE w:val="0"/>
        <w:autoSpaceDN w:val="0"/>
        <w:adjustRightInd w:val="0"/>
        <w:snapToGrid w:val="0"/>
        <w:spacing w:line="288" w:lineRule="auto"/>
        <w:ind w:firstLine="1680"/>
        <w:jc w:val="left"/>
        <w:rPr>
          <w:rFonts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（签字或盖章）</w:t>
      </w:r>
    </w:p>
    <w:p>
      <w:pPr>
        <w:tabs>
          <w:tab w:val="left" w:pos="5260"/>
        </w:tabs>
        <w:autoSpaceDE w:val="0"/>
        <w:autoSpaceDN w:val="0"/>
        <w:adjustRightInd w:val="0"/>
        <w:snapToGrid w:val="0"/>
        <w:spacing w:line="288"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6720"/>
        </w:tabs>
        <w:autoSpaceDE w:val="0"/>
        <w:autoSpaceDN w:val="0"/>
        <w:adjustRightInd w:val="0"/>
        <w:snapToGrid w:val="0"/>
        <w:spacing w:line="288" w:lineRule="auto"/>
        <w:ind w:firstLine="1680"/>
        <w:jc w:val="left"/>
        <w:rPr>
          <w:rFonts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w:t>
      </w:r>
      <w:r>
        <w:rPr>
          <w:rFonts w:hint="eastAsia" w:ascii="宋体" w:hAnsi="宋体" w:cs="MingLiU"/>
          <w:spacing w:val="-1"/>
          <w:kern w:val="0"/>
          <w:szCs w:val="21"/>
        </w:rPr>
        <w:t>字</w:t>
      </w:r>
      <w:r>
        <w:rPr>
          <w:rFonts w:hint="eastAsia" w:ascii="宋体" w:hAnsi="宋体" w:cs="MingLiU"/>
          <w:kern w:val="0"/>
          <w:szCs w:val="21"/>
        </w:rPr>
        <w:t>）</w:t>
      </w:r>
    </w:p>
    <w:p>
      <w:pPr>
        <w:tabs>
          <w:tab w:val="left" w:pos="6825"/>
        </w:tabs>
        <w:autoSpaceDE w:val="0"/>
        <w:autoSpaceDN w:val="0"/>
        <w:adjustRightInd w:val="0"/>
        <w:snapToGrid w:val="0"/>
        <w:spacing w:line="288" w:lineRule="auto"/>
        <w:ind w:firstLine="1680"/>
        <w:jc w:val="left"/>
        <w:rPr>
          <w:rFonts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0"/>
          <w:szCs w:val="20"/>
        </w:rPr>
      </w:pPr>
    </w:p>
    <w:p>
      <w:pPr>
        <w:autoSpaceDE w:val="0"/>
        <w:autoSpaceDN w:val="0"/>
        <w:adjustRightInd w:val="0"/>
        <w:snapToGrid w:val="0"/>
        <w:spacing w:line="288" w:lineRule="auto"/>
        <w:jc w:val="left"/>
        <w:rPr>
          <w:rFonts w:ascii="宋体" w:hAnsi="宋体" w:cs="MingLiU"/>
          <w:kern w:val="0"/>
          <w:sz w:val="28"/>
          <w:szCs w:val="28"/>
        </w:rPr>
      </w:pPr>
    </w:p>
    <w:p>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p>
      <w:pPr>
        <w:tabs>
          <w:tab w:val="left" w:pos="4840"/>
        </w:tabs>
        <w:autoSpaceDE w:val="0"/>
        <w:autoSpaceDN w:val="0"/>
        <w:adjustRightInd w:val="0"/>
        <w:snapToGrid w:val="0"/>
        <w:spacing w:line="288" w:lineRule="auto"/>
        <w:jc w:val="left"/>
        <w:rPr>
          <w:rFonts w:ascii="宋体" w:hAnsi="宋体"/>
        </w:rPr>
      </w:pPr>
      <w:bookmarkStart w:id="783" w:name="_Toc224103513"/>
    </w:p>
    <w:tbl>
      <w:tblPr>
        <w:tblStyle w:val="49"/>
        <w:tblpPr w:leftFromText="180" w:rightFromText="180" w:vertAnchor="text" w:horzAnchor="margin" w:tblpXSpec="right" w:tblpY="104"/>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340" w:hRule="atLeast"/>
        </w:trPr>
        <w:tc>
          <w:tcPr>
            <w:tcW w:w="4248" w:type="dxa"/>
            <w:tcBorders>
              <w:top w:val="dotDotDash" w:color="auto" w:sz="4" w:space="0"/>
              <w:left w:val="dotDotDash" w:color="auto" w:sz="4" w:space="0"/>
              <w:bottom w:val="dotDotDash" w:color="auto" w:sz="4" w:space="0"/>
              <w:right w:val="dotDotDash" w:color="auto" w:sz="4" w:space="0"/>
            </w:tcBorders>
          </w:tcPr>
          <w:p>
            <w:pPr>
              <w:spacing w:line="288" w:lineRule="auto"/>
              <w:jc w:val="center"/>
              <w:rPr>
                <w:rFonts w:ascii="宋体" w:hAnsi="宋体"/>
                <w:b/>
                <w:sz w:val="24"/>
              </w:rPr>
            </w:pPr>
            <w:r>
              <w:rPr>
                <w:rFonts w:hint="eastAsia" w:ascii="宋体" w:hAnsi="宋体"/>
                <w:b/>
                <w:sz w:val="24"/>
              </w:rPr>
              <w:t>委托代理人身份证复印件或扫描件</w:t>
            </w:r>
          </w:p>
          <w:p>
            <w:pPr>
              <w:spacing w:line="288" w:lineRule="auto"/>
              <w:jc w:val="center"/>
              <w:rPr>
                <w:rFonts w:ascii="宋体" w:hAnsi="宋体"/>
                <w:b/>
                <w:sz w:val="24"/>
              </w:rPr>
            </w:pPr>
            <w:r>
              <w:rPr>
                <w:rFonts w:hint="eastAsia" w:ascii="宋体" w:hAnsi="宋体"/>
                <w:b/>
                <w:sz w:val="24"/>
              </w:rPr>
              <w:t>（</w:t>
            </w:r>
            <w:r>
              <w:rPr>
                <w:rFonts w:hint="eastAsia" w:ascii="宋体" w:hAnsi="宋体"/>
                <w:b/>
                <w:sz w:val="28"/>
                <w:szCs w:val="28"/>
              </w:rPr>
              <w:t>双面</w:t>
            </w:r>
            <w:r>
              <w:rPr>
                <w:rFonts w:hint="eastAsia" w:ascii="宋体" w:hAnsi="宋体"/>
                <w:b/>
                <w:sz w:val="24"/>
              </w:rPr>
              <w:t>）</w:t>
            </w:r>
          </w:p>
          <w:p>
            <w:pPr>
              <w:spacing w:line="288" w:lineRule="auto"/>
              <w:rPr>
                <w:rFonts w:ascii="宋体" w:hAnsi="宋体"/>
                <w:b/>
                <w:sz w:val="28"/>
                <w:szCs w:val="28"/>
              </w:rPr>
            </w:pPr>
          </w:p>
          <w:p>
            <w:pPr>
              <w:spacing w:line="288" w:lineRule="auto"/>
              <w:rPr>
                <w:rFonts w:ascii="宋体" w:hAnsi="宋体"/>
                <w:b/>
                <w:sz w:val="28"/>
                <w:szCs w:val="28"/>
              </w:rPr>
            </w:pPr>
          </w:p>
        </w:tc>
      </w:tr>
    </w:tbl>
    <w:p>
      <w:pPr>
        <w:spacing w:line="288" w:lineRule="auto"/>
        <w:rPr>
          <w:rFonts w:ascii="宋体" w:hAnsi="宋体"/>
          <w:vanish/>
        </w:rPr>
      </w:pPr>
    </w:p>
    <w:tbl>
      <w:tblPr>
        <w:tblStyle w:val="49"/>
        <w:tblpPr w:leftFromText="180" w:rightFromText="180" w:vertAnchor="text" w:horzAnchor="margin" w:tblpY="9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288" w:lineRule="auto"/>
              <w:jc w:val="center"/>
              <w:rPr>
                <w:rFonts w:ascii="宋体" w:hAnsi="宋体"/>
                <w:b/>
                <w:sz w:val="24"/>
              </w:rPr>
            </w:pPr>
            <w:r>
              <w:rPr>
                <w:rFonts w:hint="eastAsia" w:ascii="宋体" w:hAnsi="宋体"/>
                <w:b/>
                <w:sz w:val="24"/>
              </w:rPr>
              <w:t>法定代表人身份证复印件或扫描件</w:t>
            </w:r>
          </w:p>
          <w:p>
            <w:pPr>
              <w:spacing w:line="288" w:lineRule="auto"/>
              <w:jc w:val="center"/>
              <w:rPr>
                <w:rFonts w:ascii="宋体" w:hAnsi="宋体"/>
                <w:b/>
                <w:sz w:val="24"/>
              </w:rPr>
            </w:pPr>
            <w:r>
              <w:rPr>
                <w:rFonts w:hint="eastAsia" w:ascii="宋体" w:hAnsi="宋体"/>
                <w:b/>
                <w:sz w:val="24"/>
              </w:rPr>
              <w:t>（</w:t>
            </w:r>
            <w:r>
              <w:rPr>
                <w:rFonts w:hint="eastAsia" w:ascii="宋体" w:hAnsi="宋体"/>
                <w:b/>
                <w:sz w:val="28"/>
                <w:szCs w:val="28"/>
              </w:rPr>
              <w:t>双面</w:t>
            </w:r>
            <w:r>
              <w:rPr>
                <w:rFonts w:hint="eastAsia" w:ascii="宋体" w:hAnsi="宋体"/>
                <w:b/>
                <w:sz w:val="24"/>
              </w:rPr>
              <w:t>）</w:t>
            </w:r>
          </w:p>
          <w:p>
            <w:pPr>
              <w:spacing w:line="288" w:lineRule="auto"/>
              <w:rPr>
                <w:rFonts w:ascii="宋体" w:hAnsi="宋体"/>
                <w:b/>
                <w:sz w:val="24"/>
              </w:rPr>
            </w:pPr>
          </w:p>
          <w:p>
            <w:pPr>
              <w:spacing w:line="288" w:lineRule="auto"/>
              <w:rPr>
                <w:rFonts w:ascii="宋体" w:hAnsi="宋体"/>
                <w:b/>
                <w:sz w:val="24"/>
              </w:rPr>
            </w:pPr>
          </w:p>
        </w:tc>
      </w:tr>
    </w:tbl>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ascii="宋体" w:hAnsi="宋体"/>
        </w:rPr>
      </w:pPr>
    </w:p>
    <w:p>
      <w:pPr>
        <w:tabs>
          <w:tab w:val="left" w:pos="4840"/>
        </w:tabs>
        <w:autoSpaceDE w:val="0"/>
        <w:autoSpaceDN w:val="0"/>
        <w:adjustRightInd w:val="0"/>
        <w:snapToGrid w:val="0"/>
        <w:spacing w:line="288" w:lineRule="auto"/>
        <w:jc w:val="left"/>
        <w:rPr>
          <w:rFonts w:ascii="宋体" w:hAnsi="宋体"/>
        </w:rPr>
      </w:pPr>
    </w:p>
    <w:p>
      <w:pPr>
        <w:pStyle w:val="6"/>
        <w:spacing w:line="288" w:lineRule="auto"/>
        <w:jc w:val="center"/>
        <w:rPr>
          <w:rFonts w:ascii="宋体" w:eastAsia="宋体"/>
          <w:kern w:val="0"/>
        </w:rPr>
      </w:pPr>
      <w:bookmarkStart w:id="784" w:name="_Toc287620832"/>
      <w:bookmarkStart w:id="785" w:name="_Toc451342725"/>
      <w:bookmarkStart w:id="786" w:name="_Toc287607885"/>
      <w:bookmarkStart w:id="787" w:name="_Toc20592"/>
      <w:bookmarkStart w:id="788" w:name="_Toc450050405"/>
      <w:r>
        <w:rPr>
          <w:rFonts w:ascii="宋体" w:eastAsia="宋体"/>
        </w:rPr>
        <w:br w:type="page"/>
      </w:r>
      <w:bookmarkStart w:id="789" w:name="_Toc54249524"/>
      <w:r>
        <w:rPr>
          <w:rFonts w:hint="eastAsia" w:ascii="宋体" w:eastAsia="宋体"/>
        </w:rPr>
        <w:t>（二）竞标人基本情况表</w:t>
      </w:r>
      <w:bookmarkEnd w:id="783"/>
      <w:bookmarkEnd w:id="784"/>
      <w:bookmarkEnd w:id="785"/>
      <w:bookmarkEnd w:id="786"/>
      <w:bookmarkEnd w:id="787"/>
      <w:bookmarkEnd w:id="788"/>
      <w:bookmarkEnd w:id="789"/>
    </w:p>
    <w:tbl>
      <w:tblPr>
        <w:tblStyle w:val="49"/>
        <w:tblpPr w:leftFromText="180" w:rightFromText="180" w:vertAnchor="page" w:horzAnchor="margin" w:tblpY="2979"/>
        <w:tblW w:w="8568" w:type="dxa"/>
        <w:tblInd w:w="0" w:type="dxa"/>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992"/>
      </w:tblGrid>
      <w:tr>
        <w:tblPrEx>
          <w:tblLayout w:type="fixed"/>
          <w:tblCellMar>
            <w:top w:w="0" w:type="dxa"/>
            <w:left w:w="0" w:type="dxa"/>
            <w:bottom w:w="0" w:type="dxa"/>
            <w:right w:w="0" w:type="dxa"/>
          </w:tblCellMar>
        </w:tblPrEx>
        <w:trPr>
          <w:trHeight w:val="78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竞标人名称</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trHeight w:val="7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注册地址</w:t>
            </w:r>
          </w:p>
        </w:tc>
        <w:tc>
          <w:tcPr>
            <w:tcW w:w="320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邮政编码</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cantSplit/>
          <w:trHeight w:val="625" w:hRule="exac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联系人</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电</w:t>
            </w:r>
            <w:r>
              <w:rPr>
                <w:rFonts w:hint="eastAsia" w:ascii="宋体" w:hAnsi="宋体"/>
                <w:kern w:val="0"/>
                <w:szCs w:val="21"/>
              </w:rPr>
              <w:t xml:space="preserve"> </w:t>
            </w:r>
            <w:r>
              <w:rPr>
                <w:rFonts w:hint="eastAsia" w:ascii="宋体" w:hAnsi="宋体"/>
                <w:spacing w:val="1"/>
                <w:kern w:val="0"/>
                <w:szCs w:val="21"/>
              </w:rPr>
              <w:t xml:space="preserve"> </w:t>
            </w:r>
            <w:r>
              <w:rPr>
                <w:rFonts w:hint="eastAsia" w:ascii="宋体" w:hAnsi="宋体" w:cs="MingLiU"/>
                <w:kern w:val="0"/>
                <w:szCs w:val="21"/>
              </w:rPr>
              <w:t>话</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cantSplit/>
          <w:trHeight w:val="618" w:hRule="exac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传</w:t>
            </w:r>
            <w:r>
              <w:rPr>
                <w:rFonts w:hint="eastAsia" w:ascii="宋体" w:hAnsi="宋体"/>
                <w:kern w:val="0"/>
                <w:szCs w:val="21"/>
              </w:rPr>
              <w:tab/>
            </w:r>
            <w:r>
              <w:rPr>
                <w:rFonts w:hint="eastAsia" w:ascii="宋体" w:hAnsi="宋体" w:cs="MingLiU"/>
                <w:kern w:val="0"/>
                <w:szCs w:val="21"/>
              </w:rPr>
              <w:t>真</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网</w:t>
            </w:r>
            <w:r>
              <w:rPr>
                <w:rFonts w:hint="eastAsia" w:ascii="宋体" w:hAnsi="宋体"/>
                <w:kern w:val="0"/>
                <w:szCs w:val="21"/>
              </w:rPr>
              <w:t xml:space="preserve"> </w:t>
            </w:r>
            <w:r>
              <w:rPr>
                <w:rFonts w:hint="eastAsia" w:ascii="宋体" w:hAnsi="宋体"/>
                <w:spacing w:val="1"/>
                <w:kern w:val="0"/>
                <w:szCs w:val="21"/>
              </w:rPr>
              <w:t xml:space="preserve"> </w:t>
            </w:r>
            <w:r>
              <w:rPr>
                <w:rFonts w:hint="eastAsia" w:ascii="宋体" w:hAnsi="宋体" w:cs="MingLiU"/>
                <w:kern w:val="0"/>
                <w:szCs w:val="21"/>
              </w:rPr>
              <w:t>址</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trHeight w:val="4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组织结构</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trHeight w:val="63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trHeight w:val="78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trHeight w:val="60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4991"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员工总人数：</w:t>
            </w:r>
          </w:p>
        </w:tc>
      </w:tr>
      <w:tr>
        <w:tblPrEx>
          <w:tblLayout w:type="fixed"/>
          <w:tblCellMar>
            <w:top w:w="0" w:type="dxa"/>
            <w:left w:w="0" w:type="dxa"/>
            <w:bottom w:w="0" w:type="dxa"/>
            <w:right w:w="0" w:type="dxa"/>
          </w:tblCellMar>
        </w:tblPrEx>
        <w:trPr>
          <w:cantSplit/>
          <w:trHeight w:val="77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p>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其中</w:t>
            </w: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项目经理</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cantSplit/>
          <w:trHeight w:val="76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高级职称人员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cantSplit/>
          <w:trHeight w:val="79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注册资金</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中级职称人员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cantSplit/>
          <w:trHeight w:val="774"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开户银行</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初级职称人员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cantSplit/>
          <w:trHeight w:val="61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账号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技</w:t>
            </w:r>
            <w:r>
              <w:rPr>
                <w:rFonts w:hint="eastAsia" w:ascii="宋体" w:hAnsi="宋体"/>
                <w:kern w:val="0"/>
                <w:szCs w:val="21"/>
              </w:rPr>
              <w:tab/>
            </w:r>
            <w:r>
              <w:rPr>
                <w:rFonts w:hint="eastAsia" w:ascii="宋体" w:hAnsi="宋体" w:cs="MingLiU"/>
                <w:kern w:val="0"/>
                <w:szCs w:val="21"/>
              </w:rPr>
              <w:t>工</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trHeight w:val="116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cs="MingLiU"/>
                <w:kern w:val="0"/>
                <w:szCs w:val="21"/>
              </w:rPr>
              <w:t>经营范围</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r>
        <w:tblPrEx>
          <w:tblLayout w:type="fixed"/>
          <w:tblCellMar>
            <w:top w:w="0" w:type="dxa"/>
            <w:left w:w="0" w:type="dxa"/>
            <w:bottom w:w="0" w:type="dxa"/>
            <w:right w:w="0" w:type="dxa"/>
          </w:tblCellMar>
        </w:tblPrEx>
        <w:trPr>
          <w:trHeight w:val="155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r>
              <w:rPr>
                <w:rFonts w:hint="eastAsia" w:ascii="宋体" w:hAnsi="宋体"/>
                <w:kern w:val="0"/>
                <w:szCs w:val="21"/>
              </w:rPr>
              <w:t>备注</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rPr>
            </w:pPr>
          </w:p>
        </w:tc>
      </w:tr>
    </w:tbl>
    <w:p>
      <w:pPr>
        <w:spacing w:line="288" w:lineRule="auto"/>
        <w:rPr>
          <w:rFonts w:ascii="宋体" w:hAnsi="宋体"/>
          <w:kern w:val="0"/>
        </w:rPr>
      </w:pPr>
    </w:p>
    <w:p>
      <w:pPr>
        <w:pStyle w:val="6"/>
        <w:spacing w:line="288" w:lineRule="auto"/>
        <w:jc w:val="center"/>
        <w:rPr>
          <w:rFonts w:ascii="宋体" w:eastAsia="宋体"/>
        </w:rPr>
      </w:pPr>
      <w:bookmarkStart w:id="790" w:name="_Toc287607886"/>
      <w:bookmarkStart w:id="791" w:name="_Toc287620833"/>
      <w:bookmarkStart w:id="792" w:name="_Toc451342726"/>
      <w:bookmarkStart w:id="793" w:name="_Toc450050406"/>
      <w:bookmarkStart w:id="794" w:name="_Toc224103514"/>
      <w:bookmarkStart w:id="795" w:name="_Toc3057"/>
    </w:p>
    <w:p>
      <w:pPr>
        <w:pStyle w:val="6"/>
        <w:spacing w:line="288" w:lineRule="auto"/>
        <w:jc w:val="center"/>
        <w:rPr>
          <w:rFonts w:ascii="宋体" w:eastAsia="宋体"/>
        </w:rPr>
      </w:pPr>
      <w:bookmarkStart w:id="796" w:name="_Toc54249525"/>
    </w:p>
    <w:p>
      <w:pPr>
        <w:pStyle w:val="6"/>
        <w:spacing w:line="288" w:lineRule="auto"/>
        <w:jc w:val="center"/>
        <w:rPr>
          <w:rFonts w:ascii="宋体" w:eastAsia="宋体"/>
          <w:kern w:val="0"/>
        </w:rPr>
      </w:pPr>
      <w:r>
        <w:rPr>
          <w:rFonts w:hint="eastAsia" w:ascii="宋体" w:eastAsia="宋体"/>
        </w:rPr>
        <w:t>（三）项目管理机构</w:t>
      </w:r>
      <w:bookmarkEnd w:id="790"/>
      <w:bookmarkEnd w:id="791"/>
      <w:bookmarkEnd w:id="792"/>
      <w:bookmarkEnd w:id="793"/>
      <w:bookmarkEnd w:id="794"/>
      <w:bookmarkEnd w:id="795"/>
      <w:bookmarkEnd w:id="796"/>
    </w:p>
    <w:p>
      <w:pPr>
        <w:autoSpaceDE w:val="0"/>
        <w:autoSpaceDN w:val="0"/>
        <w:adjustRightInd w:val="0"/>
        <w:snapToGrid w:val="0"/>
        <w:spacing w:line="288" w:lineRule="auto"/>
        <w:jc w:val="center"/>
        <w:rPr>
          <w:rFonts w:ascii="宋体" w:hAnsi="宋体" w:cs="MingLiU"/>
          <w:b/>
          <w:kern w:val="0"/>
          <w:sz w:val="28"/>
          <w:szCs w:val="28"/>
        </w:rPr>
      </w:pPr>
    </w:p>
    <w:p>
      <w:pPr>
        <w:autoSpaceDE w:val="0"/>
        <w:autoSpaceDN w:val="0"/>
        <w:adjustRightInd w:val="0"/>
        <w:snapToGrid w:val="0"/>
        <w:spacing w:line="288" w:lineRule="auto"/>
        <w:jc w:val="center"/>
        <w:rPr>
          <w:rFonts w:ascii="宋体" w:hAnsi="宋体" w:cs="MingLiU"/>
          <w:b/>
          <w:kern w:val="0"/>
          <w:sz w:val="24"/>
        </w:rPr>
      </w:pPr>
      <w:r>
        <w:rPr>
          <w:rFonts w:hint="eastAsia" w:ascii="宋体" w:hAnsi="宋体" w:cs="MingLiU"/>
          <w:b/>
          <w:kern w:val="0"/>
          <w:sz w:val="24"/>
        </w:rPr>
        <w:t>项目管理机构组成表</w:t>
      </w:r>
    </w:p>
    <w:tbl>
      <w:tblPr>
        <w:tblStyle w:val="49"/>
        <w:tblW w:w="8523" w:type="dxa"/>
        <w:tblInd w:w="112" w:type="dxa"/>
        <w:tblLayout w:type="fixed"/>
        <w:tblCellMar>
          <w:top w:w="0" w:type="dxa"/>
          <w:left w:w="0" w:type="dxa"/>
          <w:bottom w:w="0" w:type="dxa"/>
          <w:right w:w="0" w:type="dxa"/>
        </w:tblCellMar>
      </w:tblPr>
      <w:tblGrid>
        <w:gridCol w:w="647"/>
        <w:gridCol w:w="721"/>
        <w:gridCol w:w="719"/>
        <w:gridCol w:w="1081"/>
        <w:gridCol w:w="719"/>
        <w:gridCol w:w="721"/>
        <w:gridCol w:w="719"/>
        <w:gridCol w:w="2524"/>
        <w:gridCol w:w="672"/>
      </w:tblGrid>
      <w:tr>
        <w:tblPrEx>
          <w:tblLayout w:type="fixed"/>
          <w:tblCellMar>
            <w:top w:w="0" w:type="dxa"/>
            <w:left w:w="0" w:type="dxa"/>
            <w:bottom w:w="0" w:type="dxa"/>
            <w:right w:w="0" w:type="dxa"/>
          </w:tblCellMar>
        </w:tblPrEx>
        <w:trPr>
          <w:cantSplit/>
          <w:trHeight w:val="450" w:hRule="exact"/>
        </w:trPr>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职务</w:t>
            </w: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姓名</w:t>
            </w:r>
          </w:p>
        </w:tc>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职称</w:t>
            </w:r>
          </w:p>
        </w:tc>
        <w:tc>
          <w:tcPr>
            <w:tcW w:w="5764"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执业或职业资格证明</w:t>
            </w:r>
          </w:p>
        </w:tc>
        <w:tc>
          <w:tcPr>
            <w:tcW w:w="6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备注</w:t>
            </w:r>
          </w:p>
        </w:tc>
      </w:tr>
      <w:tr>
        <w:tblPrEx>
          <w:tblLayout w:type="fixed"/>
          <w:tblCellMar>
            <w:top w:w="0" w:type="dxa"/>
            <w:left w:w="0" w:type="dxa"/>
            <w:bottom w:w="0" w:type="dxa"/>
            <w:right w:w="0" w:type="dxa"/>
          </w:tblCellMar>
        </w:tblPrEx>
        <w:trPr>
          <w:cantSplit/>
          <w:trHeight w:val="957" w:hRule="exact"/>
        </w:trPr>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证书名称</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级别</w:t>
            </w:r>
          </w:p>
        </w:tc>
        <w:tc>
          <w:tcPr>
            <w:tcW w:w="7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证号</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专业</w:t>
            </w:r>
          </w:p>
        </w:tc>
        <w:tc>
          <w:tcPr>
            <w:tcW w:w="25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养老保险</w:t>
            </w: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bl>
    <w:p>
      <w:pPr>
        <w:spacing w:line="288" w:lineRule="auto"/>
        <w:jc w:val="center"/>
        <w:rPr>
          <w:rFonts w:ascii="宋体" w:hAnsi="宋体"/>
          <w:b/>
          <w:sz w:val="28"/>
          <w:szCs w:val="28"/>
        </w:rPr>
      </w:pPr>
      <w:r>
        <w:rPr>
          <w:rFonts w:hint="eastAsia" w:ascii="宋体" w:hAnsi="宋体"/>
        </w:rPr>
        <w:br w:type="page"/>
      </w:r>
      <w:bookmarkStart w:id="797" w:name="_Toc287607887"/>
      <w:bookmarkStart w:id="798" w:name="_Toc277082659"/>
      <w:r>
        <w:rPr>
          <w:rFonts w:hint="eastAsia" w:ascii="宋体" w:hAnsi="宋体"/>
          <w:b/>
          <w:sz w:val="28"/>
          <w:szCs w:val="28"/>
        </w:rPr>
        <w:t>主要人员简历表</w:t>
      </w:r>
      <w:bookmarkEnd w:id="797"/>
      <w:bookmarkEnd w:id="798"/>
    </w:p>
    <w:p>
      <w:pPr>
        <w:spacing w:line="288" w:lineRule="auto"/>
        <w:rPr>
          <w:rFonts w:ascii="宋体" w:hAnsi="宋体"/>
        </w:rPr>
      </w:pPr>
    </w:p>
    <w:tbl>
      <w:tblPr>
        <w:tblStyle w:val="49"/>
        <w:tblW w:w="8523" w:type="dxa"/>
        <w:tblInd w:w="112" w:type="dxa"/>
        <w:tblLayout w:type="fixed"/>
        <w:tblCellMar>
          <w:top w:w="0" w:type="dxa"/>
          <w:left w:w="0" w:type="dxa"/>
          <w:bottom w:w="0" w:type="dxa"/>
          <w:right w:w="0" w:type="dxa"/>
        </w:tblCellMar>
      </w:tblPr>
      <w:tblGrid>
        <w:gridCol w:w="1186"/>
        <w:gridCol w:w="360"/>
        <w:gridCol w:w="720"/>
        <w:gridCol w:w="926"/>
        <w:gridCol w:w="1066"/>
        <w:gridCol w:w="708"/>
        <w:gridCol w:w="1260"/>
        <w:gridCol w:w="162"/>
        <w:gridCol w:w="2135"/>
      </w:tblGrid>
      <w:tr>
        <w:tblPrEx>
          <w:tblLayout w:type="fixed"/>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姓</w:t>
            </w:r>
            <w:r>
              <w:rPr>
                <w:rFonts w:hint="eastAsia" w:ascii="宋体" w:hAnsi="宋体"/>
                <w:kern w:val="0"/>
                <w:szCs w:val="21"/>
              </w:rPr>
              <w:tab/>
            </w:r>
            <w:r>
              <w:rPr>
                <w:rFonts w:hint="eastAsia" w:ascii="宋体" w:hAnsi="宋体" w:cs="MingLiU"/>
                <w:kern w:val="0"/>
                <w:szCs w:val="21"/>
              </w:rPr>
              <w:t>名</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年</w:t>
            </w:r>
            <w:r>
              <w:rPr>
                <w:rFonts w:hint="eastAsia" w:ascii="宋体" w:hAnsi="宋体"/>
                <w:kern w:val="0"/>
                <w:szCs w:val="21"/>
              </w:rPr>
              <w:t xml:space="preserve">  </w:t>
            </w:r>
            <w:r>
              <w:rPr>
                <w:rFonts w:hint="eastAsia" w:ascii="宋体" w:hAnsi="宋体" w:cs="MingLiU"/>
                <w:kern w:val="0"/>
                <w:szCs w:val="21"/>
              </w:rPr>
              <w:t>龄</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学历</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职</w:t>
            </w:r>
            <w:r>
              <w:rPr>
                <w:rFonts w:hint="eastAsia" w:ascii="宋体" w:hAnsi="宋体"/>
                <w:kern w:val="0"/>
                <w:szCs w:val="21"/>
              </w:rPr>
              <w:tab/>
            </w:r>
            <w:r>
              <w:rPr>
                <w:rFonts w:hint="eastAsia" w:ascii="宋体" w:hAnsi="宋体" w:cs="MingLiU"/>
                <w:kern w:val="0"/>
                <w:szCs w:val="21"/>
              </w:rPr>
              <w:t>称</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职</w:t>
            </w:r>
            <w:r>
              <w:rPr>
                <w:rFonts w:hint="eastAsia" w:ascii="宋体" w:hAnsi="宋体"/>
                <w:kern w:val="0"/>
                <w:szCs w:val="21"/>
              </w:rPr>
              <w:t xml:space="preserve">  </w:t>
            </w:r>
            <w:r>
              <w:rPr>
                <w:rFonts w:hint="eastAsia" w:ascii="宋体" w:hAnsi="宋体" w:cs="MingLiU"/>
                <w:kern w:val="0"/>
                <w:szCs w:val="21"/>
              </w:rPr>
              <w:t>务</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拟在本合同任职</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p>
        </w:tc>
      </w:tr>
      <w:tr>
        <w:tblPrEx>
          <w:tblLayout w:type="fixed"/>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毕业学校</w:t>
            </w:r>
          </w:p>
        </w:tc>
        <w:tc>
          <w:tcPr>
            <w:tcW w:w="7337" w:type="dxa"/>
            <w:gridSpan w:val="8"/>
            <w:tcBorders>
              <w:top w:val="single" w:color="000000" w:sz="4" w:space="0"/>
              <w:left w:val="single" w:color="000000" w:sz="4" w:space="0"/>
              <w:bottom w:val="single" w:color="000000" w:sz="4" w:space="0"/>
              <w:right w:val="single" w:color="000000" w:sz="4" w:space="0"/>
            </w:tcBorders>
            <w:vAlign w:val="center"/>
          </w:tcPr>
          <w:p>
            <w:pPr>
              <w:tabs>
                <w:tab w:val="left" w:pos="2820"/>
                <w:tab w:val="left" w:pos="4080"/>
              </w:tabs>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年</w:t>
            </w:r>
            <w:r>
              <w:rPr>
                <w:rFonts w:hint="eastAsia" w:ascii="宋体" w:hAnsi="宋体" w:cs="MingLiU"/>
                <w:spacing w:val="-1"/>
                <w:kern w:val="0"/>
                <w:szCs w:val="21"/>
              </w:rPr>
              <w:t>毕</w:t>
            </w:r>
            <w:r>
              <w:rPr>
                <w:rFonts w:hint="eastAsia" w:ascii="宋体" w:hAnsi="宋体" w:cs="MingLiU"/>
                <w:kern w:val="0"/>
                <w:szCs w:val="21"/>
              </w:rPr>
              <w:t>业于</w:t>
            </w:r>
            <w:r>
              <w:rPr>
                <w:rFonts w:hint="eastAsia" w:ascii="宋体" w:hAnsi="宋体"/>
                <w:kern w:val="0"/>
                <w:szCs w:val="21"/>
              </w:rPr>
              <w:tab/>
            </w:r>
            <w:r>
              <w:rPr>
                <w:rFonts w:hint="eastAsia" w:ascii="宋体" w:hAnsi="宋体" w:cs="MingLiU"/>
                <w:kern w:val="0"/>
                <w:szCs w:val="21"/>
              </w:rPr>
              <w:t>学校</w:t>
            </w:r>
            <w:r>
              <w:rPr>
                <w:rFonts w:hint="eastAsia" w:ascii="宋体" w:hAnsi="宋体"/>
                <w:kern w:val="0"/>
                <w:szCs w:val="21"/>
              </w:rPr>
              <w:tab/>
            </w:r>
            <w:r>
              <w:rPr>
                <w:rFonts w:hint="eastAsia" w:ascii="宋体" w:hAnsi="宋体" w:cs="MingLiU"/>
                <w:kern w:val="0"/>
                <w:szCs w:val="21"/>
              </w:rPr>
              <w:t>专业</w:t>
            </w:r>
          </w:p>
        </w:tc>
      </w:tr>
      <w:tr>
        <w:tblPrEx>
          <w:tblLayout w:type="fixed"/>
          <w:tblCellMar>
            <w:top w:w="0" w:type="dxa"/>
            <w:left w:w="0" w:type="dxa"/>
            <w:bottom w:w="0" w:type="dxa"/>
            <w:right w:w="0" w:type="dxa"/>
          </w:tblCellMar>
        </w:tblPrEx>
        <w:trPr>
          <w:trHeight w:val="450" w:hRule="atLeast"/>
        </w:trPr>
        <w:tc>
          <w:tcPr>
            <w:tcW w:w="8523"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主要工作经历</w:t>
            </w:r>
          </w:p>
        </w:tc>
      </w:tr>
      <w:tr>
        <w:tblPrEx>
          <w:tblLayout w:type="fixed"/>
          <w:tblCellMar>
            <w:top w:w="0" w:type="dxa"/>
            <w:left w:w="0" w:type="dxa"/>
            <w:bottom w:w="0" w:type="dxa"/>
            <w:right w:w="0" w:type="dxa"/>
          </w:tblCellMar>
        </w:tblPrEx>
        <w:trPr>
          <w:trHeight w:val="450" w:hRule="exact"/>
        </w:trPr>
        <w:tc>
          <w:tcPr>
            <w:tcW w:w="15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时</w:t>
            </w:r>
            <w:r>
              <w:rPr>
                <w:rFonts w:hint="eastAsia" w:ascii="宋体" w:hAnsi="宋体"/>
                <w:kern w:val="0"/>
                <w:szCs w:val="21"/>
              </w:rPr>
              <w:tab/>
            </w:r>
            <w:r>
              <w:rPr>
                <w:rFonts w:hint="eastAsia" w:ascii="宋体" w:hAnsi="宋体" w:cs="MingLiU"/>
                <w:kern w:val="0"/>
                <w:szCs w:val="21"/>
              </w:rPr>
              <w:t>间</w:t>
            </w:r>
          </w:p>
        </w:tc>
        <w:tc>
          <w:tcPr>
            <w:tcW w:w="342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担任职务</w:t>
            </w:r>
          </w:p>
        </w:tc>
        <w:tc>
          <w:tcPr>
            <w:tcW w:w="22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rPr>
            </w:pPr>
            <w:r>
              <w:rPr>
                <w:rFonts w:hint="eastAsia" w:ascii="宋体" w:hAnsi="宋体" w:cs="MingLiU"/>
                <w:kern w:val="0"/>
                <w:szCs w:val="21"/>
              </w:rPr>
              <w:t>发包人及联系电话</w:t>
            </w: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685"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r>
        <w:tblPrEx>
          <w:tblLayout w:type="fixed"/>
          <w:tblCellMar>
            <w:top w:w="0" w:type="dxa"/>
            <w:left w:w="0" w:type="dxa"/>
            <w:bottom w:w="0" w:type="dxa"/>
            <w:right w:w="0" w:type="dxa"/>
          </w:tblCellMar>
        </w:tblPrEx>
        <w:trPr>
          <w:trHeight w:val="764"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p>
            <w:pPr>
              <w:autoSpaceDE w:val="0"/>
              <w:autoSpaceDN w:val="0"/>
              <w:adjustRightInd w:val="0"/>
              <w:snapToGrid w:val="0"/>
              <w:spacing w:line="288" w:lineRule="auto"/>
              <w:jc w:val="left"/>
              <w:rPr>
                <w:rFonts w:ascii="宋体" w:hAnsi="宋体"/>
                <w:kern w:val="0"/>
                <w:sz w:val="24"/>
              </w:rPr>
            </w:pPr>
          </w:p>
          <w:p>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rPr>
            </w:pPr>
          </w:p>
        </w:tc>
      </w:tr>
    </w:tbl>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rPr>
          <w:rFonts w:ascii="宋体" w:hAnsi="宋体"/>
          <w:kern w:val="0"/>
        </w:rPr>
      </w:pPr>
    </w:p>
    <w:p>
      <w:pPr>
        <w:spacing w:line="288" w:lineRule="auto"/>
        <w:rPr>
          <w:rFonts w:ascii="宋体" w:hAnsi="宋体"/>
          <w:kern w:val="0"/>
        </w:rPr>
      </w:pPr>
    </w:p>
    <w:p>
      <w:pPr>
        <w:pStyle w:val="6"/>
        <w:spacing w:before="0"/>
        <w:jc w:val="center"/>
        <w:rPr>
          <w:rFonts w:ascii="宋体" w:eastAsia="宋体" w:cs="宋体"/>
          <w:sz w:val="28"/>
        </w:rPr>
      </w:pPr>
      <w:bookmarkStart w:id="799" w:name="_Toc54249526"/>
      <w:bookmarkStart w:id="800" w:name="_Toc509218865"/>
      <w:bookmarkStart w:id="801" w:name="_Toc534185842"/>
      <w:bookmarkStart w:id="802" w:name="_Toc35034448"/>
      <w:bookmarkStart w:id="803" w:name="_Toc287607892"/>
      <w:bookmarkStart w:id="804" w:name="_Toc287620838"/>
      <w:bookmarkStart w:id="805" w:name="_Toc28934"/>
      <w:bookmarkStart w:id="806" w:name="_Toc451342728"/>
      <w:bookmarkStart w:id="807" w:name="_Toc450050408"/>
      <w:r>
        <w:rPr>
          <w:rFonts w:hint="eastAsia" w:ascii="宋体" w:eastAsia="宋体" w:cs="宋体"/>
          <w:sz w:val="28"/>
        </w:rPr>
        <w:t>（四）近年完成的类似项目情况表</w:t>
      </w:r>
      <w:bookmarkEnd w:id="799"/>
      <w:bookmarkEnd w:id="800"/>
      <w:bookmarkEnd w:id="801"/>
      <w:bookmarkEnd w:id="802"/>
    </w:p>
    <w:tbl>
      <w:tblPr>
        <w:tblStyle w:val="49"/>
        <w:tblW w:w="9483"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4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6"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1"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5"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70"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6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23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104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pPr>
              <w:autoSpaceDE w:val="0"/>
              <w:autoSpaceDN w:val="0"/>
              <w:adjustRightInd w:val="0"/>
              <w:snapToGrid w:val="0"/>
              <w:jc w:val="center"/>
              <w:rPr>
                <w:rFonts w:ascii="宋体" w:hAnsi="宋体"/>
                <w:kern w:val="0"/>
                <w:szCs w:val="21"/>
              </w:rPr>
            </w:pPr>
          </w:p>
        </w:tc>
      </w:tr>
    </w:tbl>
    <w:p>
      <w:pPr>
        <w:rPr>
          <w:rFonts w:ascii="宋体" w:hAnsi="宋体" w:cs="宋体"/>
          <w:sz w:val="28"/>
        </w:rPr>
      </w:pPr>
    </w:p>
    <w:p>
      <w:pPr>
        <w:pStyle w:val="6"/>
        <w:spacing w:line="288" w:lineRule="auto"/>
        <w:jc w:val="center"/>
        <w:rPr>
          <w:rFonts w:ascii="宋体" w:eastAsia="宋体" w:cs="宋体"/>
          <w:szCs w:val="24"/>
        </w:rPr>
      </w:pPr>
      <w:bookmarkStart w:id="808" w:name="_Toc54249527"/>
      <w:r>
        <w:rPr>
          <w:rFonts w:hint="eastAsia" w:ascii="宋体" w:eastAsia="宋体" w:cs="宋体"/>
          <w:sz w:val="28"/>
        </w:rPr>
        <w:t>（五）</w:t>
      </w:r>
      <w:bookmarkEnd w:id="803"/>
      <w:bookmarkEnd w:id="804"/>
      <w:bookmarkEnd w:id="805"/>
      <w:bookmarkEnd w:id="806"/>
      <w:bookmarkEnd w:id="807"/>
      <w:bookmarkEnd w:id="808"/>
      <w:r>
        <w:rPr>
          <w:rFonts w:hint="eastAsia" w:ascii="宋体" w:eastAsia="宋体" w:cs="宋体"/>
          <w:sz w:val="28"/>
        </w:rPr>
        <w:t>投标截止日资格情况</w:t>
      </w:r>
    </w:p>
    <w:p>
      <w:pPr>
        <w:spacing w:line="288" w:lineRule="auto"/>
        <w:rPr>
          <w:rFonts w:ascii="宋体" w:hAnsi="宋体"/>
        </w:rPr>
      </w:pPr>
    </w:p>
    <w:p>
      <w:pPr>
        <w:ind w:firstLine="420" w:firstLineChars="200"/>
        <w:jc w:val="center"/>
        <w:rPr>
          <w:rFonts w:ascii="宋体" w:hAnsi="宋体" w:cs="宋体"/>
          <w:kern w:val="0"/>
        </w:rPr>
      </w:pPr>
      <w:r>
        <w:rPr>
          <w:rFonts w:hint="eastAsia" w:ascii="宋体" w:hAnsi="宋体" w:cs="宋体"/>
          <w:kern w:val="0"/>
        </w:rPr>
        <w:t>格式自拟</w:t>
      </w: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ind w:firstLine="420" w:firstLineChars="200"/>
        <w:rPr>
          <w:rFonts w:ascii="宋体" w:hAnsi="宋体"/>
          <w:kern w:val="0"/>
        </w:rPr>
      </w:pPr>
    </w:p>
    <w:p>
      <w:pPr>
        <w:spacing w:line="288" w:lineRule="auto"/>
        <w:rPr>
          <w:rFonts w:ascii="宋体" w:hAnsi="宋体"/>
          <w:kern w:val="0"/>
        </w:rPr>
      </w:pPr>
    </w:p>
    <w:p>
      <w:pPr>
        <w:spacing w:line="288" w:lineRule="auto"/>
        <w:ind w:firstLine="424" w:firstLineChars="202"/>
        <w:rPr>
          <w:rFonts w:ascii="宋体" w:hAnsi="宋体"/>
        </w:rPr>
      </w:pPr>
    </w:p>
    <w:p>
      <w:pPr>
        <w:spacing w:line="288" w:lineRule="auto"/>
        <w:ind w:firstLine="424" w:firstLineChars="202"/>
        <w:rPr>
          <w:rFonts w:ascii="宋体" w:hAnsi="宋体"/>
        </w:rPr>
      </w:pPr>
    </w:p>
    <w:p>
      <w:pPr>
        <w:spacing w:line="288" w:lineRule="auto"/>
        <w:ind w:firstLine="424" w:firstLineChars="202"/>
        <w:rPr>
          <w:rFonts w:ascii="宋体" w:hAnsi="宋体"/>
        </w:rPr>
      </w:pPr>
    </w:p>
    <w:p>
      <w:pPr>
        <w:spacing w:line="288" w:lineRule="auto"/>
        <w:ind w:firstLine="424" w:firstLineChars="202"/>
        <w:rPr>
          <w:rFonts w:ascii="宋体" w:hAnsi="宋体"/>
        </w:rPr>
      </w:pPr>
    </w:p>
    <w:p>
      <w:pPr>
        <w:spacing w:line="288" w:lineRule="auto"/>
        <w:ind w:firstLine="424" w:firstLineChars="202"/>
        <w:rPr>
          <w:rFonts w:ascii="宋体" w:hAnsi="宋体"/>
        </w:rPr>
      </w:pPr>
    </w:p>
    <w:p>
      <w:pPr>
        <w:spacing w:line="288" w:lineRule="auto"/>
        <w:rPr>
          <w:rFonts w:ascii="宋体" w:hAnsi="宋体"/>
        </w:rPr>
      </w:pPr>
    </w:p>
    <w:p>
      <w:pPr>
        <w:spacing w:line="288" w:lineRule="auto"/>
        <w:ind w:firstLine="424" w:firstLineChars="202"/>
        <w:rPr>
          <w:rFonts w:ascii="宋体" w:hAnsi="宋体"/>
        </w:rPr>
      </w:pPr>
    </w:p>
    <w:p>
      <w:pPr>
        <w:spacing w:line="288" w:lineRule="auto"/>
        <w:ind w:firstLine="424" w:firstLineChars="202"/>
        <w:rPr>
          <w:rFonts w:ascii="宋体" w:hAnsi="宋体"/>
        </w:rPr>
      </w:pPr>
    </w:p>
    <w:p>
      <w:pPr>
        <w:spacing w:line="288" w:lineRule="auto"/>
        <w:ind w:left="601" w:hanging="600" w:hangingChars="286"/>
        <w:rPr>
          <w:rFonts w:ascii="宋体" w:hAnsi="宋体"/>
        </w:rPr>
      </w:pPr>
      <w:r>
        <w:rPr>
          <w:rFonts w:hint="eastAsia" w:ascii="宋体" w:hAnsi="宋体"/>
        </w:rPr>
        <w:t>注：1.由竞标人自行声明是否满足资格审查标准中的</w:t>
      </w:r>
      <w:r>
        <w:rPr>
          <w:rFonts w:ascii="宋体" w:hAnsi="宋体"/>
        </w:rPr>
        <w:t>投标截止日投标资格情况</w:t>
      </w:r>
      <w:r>
        <w:rPr>
          <w:rFonts w:hint="eastAsia" w:ascii="宋体" w:hAnsi="宋体"/>
        </w:rPr>
        <w:t>（信誉要求）。如声明与实际不符，将被取消竞标或中标资格，其竞标保证金不予退还。</w:t>
      </w:r>
    </w:p>
    <w:p>
      <w:pPr>
        <w:spacing w:line="288" w:lineRule="auto"/>
        <w:ind w:firstLine="390" w:firstLineChars="186"/>
        <w:rPr>
          <w:rFonts w:ascii="宋体" w:hAnsi="宋体"/>
        </w:rPr>
      </w:pPr>
      <w:bookmarkStart w:id="809" w:name="_Toc205191618"/>
      <w:r>
        <w:rPr>
          <w:rFonts w:hint="eastAsia" w:ascii="宋体" w:hAnsi="宋体"/>
        </w:rPr>
        <w:t>2.该条为附加合格条件，比选人要求必备时竞标人必须响应</w:t>
      </w:r>
      <w:bookmarkEnd w:id="809"/>
      <w:r>
        <w:rPr>
          <w:rFonts w:hint="eastAsia" w:ascii="宋体" w:hAnsi="宋体"/>
        </w:rPr>
        <w:t>。</w:t>
      </w:r>
      <w:bookmarkStart w:id="810" w:name="_Toc17822"/>
      <w:bookmarkStart w:id="811" w:name="_Toc224103520"/>
      <w:bookmarkStart w:id="812" w:name="_Toc287607893"/>
      <w:bookmarkStart w:id="813" w:name="_Toc277082663"/>
      <w:bookmarkStart w:id="814" w:name="_Toc287620839"/>
    </w:p>
    <w:p>
      <w:pPr>
        <w:pStyle w:val="6"/>
        <w:spacing w:line="288" w:lineRule="auto"/>
        <w:jc w:val="center"/>
        <w:rPr>
          <w:rFonts w:ascii="宋体" w:eastAsia="宋体" w:cs="宋体"/>
          <w:szCs w:val="24"/>
        </w:rPr>
      </w:pPr>
    </w:p>
    <w:p>
      <w:pPr>
        <w:pStyle w:val="6"/>
        <w:spacing w:line="288" w:lineRule="auto"/>
        <w:jc w:val="center"/>
        <w:rPr>
          <w:rFonts w:ascii="宋体" w:eastAsia="宋体" w:cs="宋体"/>
          <w:szCs w:val="24"/>
        </w:rPr>
      </w:pPr>
      <w:bookmarkStart w:id="815" w:name="_Toc451342729"/>
      <w:bookmarkStart w:id="816" w:name="_Toc450050409"/>
      <w:r>
        <w:rPr>
          <w:rFonts w:ascii="宋体" w:eastAsia="宋体" w:cs="宋体"/>
          <w:szCs w:val="24"/>
        </w:rPr>
        <w:br w:type="page"/>
      </w:r>
      <w:bookmarkStart w:id="817" w:name="_Toc54249528"/>
      <w:r>
        <w:rPr>
          <w:rFonts w:hint="eastAsia" w:ascii="宋体" w:eastAsia="宋体" w:cs="宋体"/>
          <w:szCs w:val="24"/>
        </w:rPr>
        <w:t>（六）其他资料</w:t>
      </w:r>
      <w:bookmarkEnd w:id="810"/>
      <w:bookmarkEnd w:id="811"/>
      <w:bookmarkEnd w:id="812"/>
      <w:bookmarkEnd w:id="813"/>
      <w:bookmarkEnd w:id="814"/>
      <w:bookmarkEnd w:id="815"/>
      <w:bookmarkEnd w:id="816"/>
      <w:bookmarkEnd w:id="817"/>
    </w:p>
    <w:p>
      <w:pPr>
        <w:widowControl/>
        <w:shd w:val="clear" w:color="auto" w:fill="FFFFFF"/>
        <w:spacing w:line="560" w:lineRule="exact"/>
        <w:rPr>
          <w:rFonts w:ascii="宋体" w:hAnsi="宋体"/>
          <w:kern w:val="0"/>
          <w:sz w:val="18"/>
          <w:szCs w:val="18"/>
        </w:rPr>
      </w:pPr>
      <w:r>
        <w:rPr>
          <w:rFonts w:ascii="宋体" w:hAnsi="宋体"/>
          <w:kern w:val="0"/>
          <w:sz w:val="18"/>
          <w:szCs w:val="18"/>
        </w:rPr>
        <w:fldChar w:fldCharType="begin"/>
      </w:r>
      <w:r>
        <w:rPr>
          <w:rFonts w:ascii="宋体" w:hAnsi="宋体"/>
          <w:kern w:val="0"/>
          <w:sz w:val="18"/>
          <w:szCs w:val="18"/>
        </w:rPr>
        <w:instrText xml:space="preserve"> </w:instrText>
      </w:r>
      <w:r>
        <w:rPr>
          <w:rFonts w:hint="eastAsia" w:ascii="宋体" w:hAnsi="宋体"/>
          <w:kern w:val="0"/>
          <w:sz w:val="18"/>
          <w:szCs w:val="18"/>
        </w:rPr>
        <w:instrText xml:space="preserve">eq \o\ac(○,</w:instrText>
      </w:r>
      <w:r>
        <w:rPr>
          <w:rFonts w:hint="eastAsia" w:ascii="宋体" w:hAnsi="宋体"/>
          <w:kern w:val="0"/>
          <w:position w:val="6"/>
          <w:sz w:val="18"/>
          <w:szCs w:val="18"/>
        </w:rPr>
        <w:instrText xml:space="preserve">1</w:instrText>
      </w:r>
      <w:r>
        <w:rPr>
          <w:rFonts w:hint="eastAsia" w:ascii="宋体" w:hAnsi="宋体"/>
          <w:kern w:val="0"/>
          <w:sz w:val="18"/>
          <w:szCs w:val="18"/>
        </w:rPr>
        <w:instrText xml:space="preserve">)</w:instrText>
      </w:r>
      <w:r>
        <w:rPr>
          <w:rFonts w:ascii="宋体" w:hAnsi="宋体"/>
          <w:kern w:val="0"/>
          <w:sz w:val="18"/>
          <w:szCs w:val="18"/>
        </w:rPr>
        <w:fldChar w:fldCharType="end"/>
      </w:r>
      <w:r>
        <w:rPr>
          <w:rFonts w:hint="eastAsia" w:ascii="宋体" w:hAnsi="宋体"/>
          <w:kern w:val="0"/>
          <w:sz w:val="18"/>
          <w:szCs w:val="18"/>
        </w:rPr>
        <w:t>、其他</w:t>
      </w:r>
      <w:r>
        <w:rPr>
          <w:rFonts w:ascii="宋体" w:hAnsi="宋体"/>
          <w:kern w:val="0"/>
          <w:sz w:val="18"/>
          <w:szCs w:val="18"/>
        </w:rPr>
        <w:t>资料</w:t>
      </w:r>
    </w:p>
    <w:p>
      <w:pPr>
        <w:widowControl/>
        <w:shd w:val="clear" w:color="auto" w:fill="FFFFFF"/>
        <w:spacing w:line="560" w:lineRule="exact"/>
        <w:rPr>
          <w:rFonts w:ascii="宋体" w:hAnsi="宋体"/>
          <w:kern w:val="0"/>
          <w:sz w:val="18"/>
          <w:szCs w:val="18"/>
        </w:rPr>
      </w:pPr>
      <w:r>
        <w:rPr>
          <w:rFonts w:ascii="宋体" w:hAnsi="宋体"/>
          <w:kern w:val="0"/>
          <w:sz w:val="18"/>
          <w:szCs w:val="18"/>
        </w:rPr>
        <w:fldChar w:fldCharType="begin"/>
      </w:r>
      <w:r>
        <w:rPr>
          <w:rFonts w:ascii="宋体" w:hAnsi="宋体"/>
          <w:kern w:val="0"/>
          <w:sz w:val="18"/>
          <w:szCs w:val="18"/>
        </w:rPr>
        <w:instrText xml:space="preserve"> </w:instrText>
      </w:r>
      <w:r>
        <w:rPr>
          <w:rFonts w:hint="eastAsia" w:ascii="宋体" w:hAnsi="宋体"/>
          <w:kern w:val="0"/>
          <w:sz w:val="18"/>
          <w:szCs w:val="18"/>
        </w:rPr>
        <w:instrText xml:space="preserve">eq \o\ac(○,</w:instrText>
      </w:r>
      <w:r>
        <w:rPr>
          <w:rFonts w:hint="eastAsia" w:ascii="宋体" w:hAnsi="宋体"/>
          <w:kern w:val="0"/>
          <w:position w:val="6"/>
          <w:sz w:val="18"/>
          <w:szCs w:val="18"/>
        </w:rPr>
        <w:instrText xml:space="preserve">2</w:instrText>
      </w:r>
      <w:r>
        <w:rPr>
          <w:rFonts w:hint="eastAsia" w:ascii="宋体" w:hAnsi="宋体"/>
          <w:kern w:val="0"/>
          <w:sz w:val="18"/>
          <w:szCs w:val="18"/>
        </w:rPr>
        <w:instrText xml:space="preserve">)</w:instrText>
      </w:r>
      <w:r>
        <w:rPr>
          <w:rFonts w:ascii="宋体" w:hAnsi="宋体"/>
          <w:kern w:val="0"/>
          <w:sz w:val="18"/>
          <w:szCs w:val="18"/>
        </w:rPr>
        <w:fldChar w:fldCharType="end"/>
      </w:r>
      <w:r>
        <w:rPr>
          <w:rFonts w:hint="eastAsia" w:ascii="宋体" w:hAnsi="宋体"/>
          <w:kern w:val="0"/>
          <w:sz w:val="18"/>
          <w:szCs w:val="18"/>
        </w:rPr>
        <w:t>、竞标人承诺书</w:t>
      </w:r>
    </w:p>
    <w:p>
      <w:pPr>
        <w:pStyle w:val="6"/>
        <w:spacing w:line="288" w:lineRule="auto"/>
        <w:jc w:val="center"/>
        <w:rPr>
          <w:rFonts w:ascii="宋体" w:eastAsia="宋体" w:cs="宋体"/>
          <w:szCs w:val="24"/>
        </w:rPr>
      </w:pPr>
      <w:r>
        <w:rPr>
          <w:rFonts w:hint="eastAsia" w:ascii="宋体" w:eastAsia="宋体" w:cs="宋体"/>
          <w:szCs w:val="24"/>
        </w:rPr>
        <w:t>竞标人承诺书</w:t>
      </w:r>
    </w:p>
    <w:p>
      <w:pPr>
        <w:widowControl/>
        <w:shd w:val="clear" w:color="auto" w:fill="FFFFFF"/>
        <w:spacing w:line="560" w:lineRule="exact"/>
        <w:ind w:firstLine="420" w:firstLineChars="200"/>
        <w:jc w:val="left"/>
        <w:rPr>
          <w:rFonts w:ascii="宋体" w:hAnsi="宋体"/>
          <w:kern w:val="0"/>
          <w:szCs w:val="21"/>
          <w:u w:val="single"/>
        </w:rPr>
      </w:pPr>
      <w:r>
        <w:rPr>
          <w:rFonts w:hint="eastAsia" w:ascii="宋体" w:hAnsi="宋体"/>
          <w:kern w:val="0"/>
          <w:szCs w:val="21"/>
          <w:u w:val="single"/>
        </w:rPr>
        <w:t xml:space="preserve">  招标单位       ： </w:t>
      </w:r>
    </w:p>
    <w:p>
      <w:pPr>
        <w:widowControl/>
        <w:shd w:val="clear" w:color="auto" w:fill="FFFFFF"/>
        <w:spacing w:line="560" w:lineRule="exact"/>
        <w:ind w:firstLine="420" w:firstLineChars="200"/>
        <w:jc w:val="left"/>
        <w:rPr>
          <w:rFonts w:ascii="宋体" w:hAnsi="宋体"/>
          <w:kern w:val="0"/>
          <w:szCs w:val="21"/>
          <w:u w:val="single"/>
        </w:rPr>
      </w:pPr>
      <w:r>
        <w:rPr>
          <w:rFonts w:hint="eastAsia" w:ascii="宋体" w:hAnsi="宋体"/>
          <w:kern w:val="0"/>
          <w:szCs w:val="21"/>
          <w:u w:val="single"/>
        </w:rPr>
        <w:t>竞标人    （单位名称）        已熟悉比选文件及合同的相关约定，如果我单位发生本项目主要人员撤换，自愿承诺接受比选文件竞标人须知1.4.1条和施工合同专用合同条款第16条关于被取消中标资格、造价下浮或被解除合同等相关规定。</w:t>
      </w:r>
    </w:p>
    <w:p>
      <w:pPr>
        <w:widowControl/>
        <w:shd w:val="clear" w:color="auto" w:fill="FFFFFF"/>
        <w:spacing w:line="560" w:lineRule="exact"/>
        <w:ind w:firstLine="640" w:firstLineChars="200"/>
        <w:jc w:val="left"/>
        <w:rPr>
          <w:rFonts w:ascii="宋体" w:hAnsi="宋体"/>
          <w:kern w:val="0"/>
          <w:sz w:val="32"/>
          <w:szCs w:val="32"/>
          <w:u w:val="single"/>
        </w:rPr>
      </w:pPr>
    </w:p>
    <w:p>
      <w:pPr>
        <w:widowControl/>
        <w:shd w:val="clear" w:color="auto" w:fill="FFFFFF"/>
        <w:spacing w:line="560" w:lineRule="exact"/>
        <w:ind w:firstLine="420" w:firstLineChars="200"/>
        <w:jc w:val="left"/>
        <w:rPr>
          <w:rFonts w:ascii="宋体" w:hAnsi="宋体"/>
          <w:kern w:val="0"/>
          <w:szCs w:val="21"/>
          <w:u w:val="single"/>
        </w:rPr>
      </w:pPr>
    </w:p>
    <w:p>
      <w:pPr>
        <w:widowControl/>
        <w:shd w:val="clear" w:color="auto" w:fill="FFFFFF"/>
        <w:spacing w:line="560" w:lineRule="exact"/>
        <w:ind w:firstLine="420" w:firstLineChars="200"/>
        <w:jc w:val="left"/>
        <w:rPr>
          <w:rFonts w:ascii="宋体" w:hAnsi="宋体"/>
          <w:kern w:val="0"/>
          <w:szCs w:val="21"/>
          <w:u w:val="single"/>
        </w:rPr>
      </w:pPr>
      <w:r>
        <w:rPr>
          <w:rFonts w:hint="eastAsia" w:ascii="宋体" w:hAnsi="宋体"/>
          <w:kern w:val="0"/>
          <w:szCs w:val="21"/>
          <w:u w:val="single"/>
        </w:rPr>
        <w:t xml:space="preserve">                          竞标人：</w:t>
      </w:r>
    </w:p>
    <w:p>
      <w:pPr>
        <w:widowControl/>
        <w:shd w:val="clear" w:color="auto" w:fill="FFFFFF"/>
        <w:spacing w:line="560" w:lineRule="exact"/>
        <w:ind w:firstLine="420" w:firstLineChars="200"/>
        <w:jc w:val="left"/>
        <w:rPr>
          <w:rFonts w:ascii="宋体" w:hAnsi="宋体"/>
          <w:szCs w:val="21"/>
        </w:rPr>
      </w:pPr>
      <w:r>
        <w:rPr>
          <w:rFonts w:hint="eastAsia" w:ascii="宋体" w:hAnsi="宋体"/>
          <w:kern w:val="0"/>
          <w:szCs w:val="21"/>
          <w:u w:val="single"/>
        </w:rPr>
        <w:t xml:space="preserve">                          20  年   月  日</w:t>
      </w:r>
    </w:p>
    <w:p>
      <w:pPr>
        <w:rPr>
          <w:rFonts w:ascii="宋体" w:hAnsi="宋体"/>
        </w:rPr>
      </w:pPr>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等线">
    <w:altName w:val="微软雅黑"/>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icrosoft YaHei UI">
    <w:altName w:val="宋体"/>
    <w:panose1 w:val="00000000000000000000"/>
    <w:charset w:val="86"/>
    <w:family w:val="swiss"/>
    <w:pitch w:val="default"/>
    <w:sig w:usb0="00000000" w:usb1="00000000" w:usb2="00000016" w:usb3="00000000" w:csb0="0004001F" w:csb1="00000000"/>
  </w:font>
  <w:font w:name="等线 Light">
    <w:altName w:val="宋体"/>
    <w:panose1 w:val="00000000000000000000"/>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幼圆">
    <w:altName w:val="宋体"/>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swiss"/>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长城仿宋">
    <w:altName w:val="宋体"/>
    <w:panose1 w:val="00000000000000000000"/>
    <w:charset w:val="86"/>
    <w:family w:val="swiss"/>
    <w:pitch w:val="default"/>
    <w:sig w:usb0="00000000" w:usb1="00000000" w:usb2="00000010" w:usb3="00000000" w:csb0="00040000" w:csb1="00000000"/>
  </w:font>
  <w:font w:name="Century Gothic">
    <w:altName w:val="NumberOnly"/>
    <w:panose1 w:val="020B0502020202020204"/>
    <w:charset w:val="00"/>
    <w:family w:val="swiss"/>
    <w:pitch w:val="default"/>
    <w:sig w:usb0="00000000" w:usb1="00000000" w:usb2="00000000" w:usb3="00000000" w:csb0="0000009F" w:csb1="00000000"/>
  </w:font>
  <w:font w:name="仿宋体">
    <w:altName w:val="宋体"/>
    <w:panose1 w:val="00000000000000000000"/>
    <w:charset w:val="86"/>
    <w:family w:val="modern"/>
    <w:pitch w:val="default"/>
    <w:sig w:usb0="00000000" w:usb1="00000000" w:usb2="00000010" w:usb3="00000000" w:csb0="00040000" w:csb1="00000000"/>
  </w:font>
  <w:font w:name="MS PMincho">
    <w:panose1 w:val="02020600040205080304"/>
    <w:charset w:val="80"/>
    <w:family w:val="roman"/>
    <w:pitch w:val="default"/>
    <w:sig w:usb0="E00002FF" w:usb1="6AC7FDFB" w:usb2="00000012" w:usb3="00000000" w:csb0="4002009F" w:csb1="DFD70000"/>
  </w:font>
  <w:font w:name="Myriad Pro">
    <w:altName w:val="Segoe Print"/>
    <w:panose1 w:val="00000000000000000000"/>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w:t>
    </w:r>
    <w:r>
      <w:t xml:space="preserve"> 0 -</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w:t>
    </w:r>
    <w:r>
      <w:rPr>
        <w:lang w:val="zh-CN"/>
      </w:rP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w:t>
    </w:r>
    <w:r>
      <w:t xml:space="preserve"> 22 -</w:t>
    </w:r>
    <w:r>
      <w:fldChar w:fldCharType="end"/>
    </w:r>
  </w:p>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pict>
        <v:shape id="文本框 2" o:spid="_x0000_s2049" o:spt="202" type="#_x0000_t202" style="position:absolute;left:0pt;margin-top:0pt;height:12.2pt;width:4.7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">
          <v:path/>
          <v:fill on="f" focussize="0,0"/>
          <v:stroke on="f" joinstyle="miter"/>
          <v:imagedata o:title=""/>
          <o:lock v:ext="edit"/>
          <v:textbox inset="0mm,0mm,0mm,0mm" style="mso-fit-shape-to-text:t;">
            <w:txbxContent>
              <w:p>
                <w:pPr>
                  <w:pStyle w:val="31"/>
                </w:pPr>
                <w:r>
                  <w:fldChar w:fldCharType="begin"/>
                </w:r>
                <w:r>
                  <w:instrText xml:space="preserve"> PAGE  \* MERGEFORMAT </w:instrText>
                </w:r>
                <w:r>
                  <w:fldChar w:fldCharType="separate"/>
                </w:r>
                <w:r>
                  <w:t>103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121</w:t>
    </w:r>
    <w:r>
      <w:rPr>
        <w:lang w:val="zh-CN"/>
      </w:rPr>
      <w:fldChar w:fldCharType="end"/>
    </w:r>
  </w:p>
  <w:p>
    <w:pPr>
      <w:pStyle w:val="3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89B7BC"/>
    <w:multiLevelType w:val="singleLevel"/>
    <w:tmpl w:val="A489B7BC"/>
    <w:lvl w:ilvl="0" w:tentative="0">
      <w:start w:val="2"/>
      <w:numFmt w:val="decimal"/>
      <w:lvlText w:val="%1."/>
      <w:lvlJc w:val="left"/>
      <w:pPr>
        <w:tabs>
          <w:tab w:val="left" w:pos="312"/>
        </w:tabs>
      </w:pPr>
    </w:lvl>
  </w:abstractNum>
  <w:abstractNum w:abstractNumId="1">
    <w:nsid w:val="D7D310E2"/>
    <w:multiLevelType w:val="singleLevel"/>
    <w:tmpl w:val="D7D310E2"/>
    <w:lvl w:ilvl="0" w:tentative="0">
      <w:start w:val="1"/>
      <w:numFmt w:val="decimal"/>
      <w:suff w:val="nothing"/>
      <w:lvlText w:val="（%1）"/>
      <w:lvlJc w:val="left"/>
    </w:lvl>
  </w:abstractNum>
  <w:abstractNum w:abstractNumId="2">
    <w:nsid w:val="E293CD4F"/>
    <w:multiLevelType w:val="singleLevel"/>
    <w:tmpl w:val="E293CD4F"/>
    <w:lvl w:ilvl="0" w:tentative="0">
      <w:start w:val="2"/>
      <w:numFmt w:val="decimal"/>
      <w:suff w:val="nothing"/>
      <w:lvlText w:val="（%1）"/>
      <w:lvlJc w:val="left"/>
    </w:lvl>
  </w:abstractNum>
  <w:abstractNum w:abstractNumId="3">
    <w:nsid w:val="00000004"/>
    <w:multiLevelType w:val="singleLevel"/>
    <w:tmpl w:val="00000004"/>
    <w:lvl w:ilvl="0" w:tentative="0">
      <w:start w:val="6"/>
      <w:numFmt w:val="chineseCounting"/>
      <w:suff w:val="space"/>
      <w:lvlText w:val="第%1章"/>
      <w:lvlJc w:val="left"/>
      <w:pPr>
        <w:ind w:left="0" w:firstLine="0"/>
      </w:pPr>
    </w:lvl>
  </w:abstractNum>
  <w:abstractNum w:abstractNumId="4">
    <w:nsid w:val="00000005"/>
    <w:multiLevelType w:val="multilevel"/>
    <w:tmpl w:val="00000005"/>
    <w:lvl w:ilvl="0" w:tentative="0">
      <w:start w:val="1"/>
      <w:numFmt w:val="japaneseCounting"/>
      <w:pStyle w:val="97"/>
      <w:lvlText w:val="第%1章"/>
      <w:lvlJc w:val="left"/>
      <w:pPr>
        <w:ind w:left="3105" w:hanging="1320"/>
      </w:pPr>
      <w:rPr>
        <w:rFonts w:hint="default" w:ascii="黑体" w:hAnsi="Times New Roman" w:eastAsia="Times New Roman" w:cs="MingLiU"/>
        <w:lang w:val="en-US"/>
      </w:rPr>
    </w:lvl>
    <w:lvl w:ilvl="1" w:tentative="0">
      <w:start w:val="1"/>
      <w:numFmt w:val="decimal"/>
      <w:lvlText w:val="%2."/>
      <w:lvlJc w:val="left"/>
      <w:pPr>
        <w:tabs>
          <w:tab w:val="left" w:pos="840"/>
        </w:tabs>
        <w:ind w:left="840" w:hanging="420"/>
      </w:pPr>
      <w:rPr>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8AC67DD"/>
    <w:multiLevelType w:val="multilevel"/>
    <w:tmpl w:val="08AC67DD"/>
    <w:lvl w:ilvl="0" w:tentative="0">
      <w:start w:val="1"/>
      <w:numFmt w:val="japaneseCounting"/>
      <w:lvlText w:val="（%1）"/>
      <w:lvlJc w:val="left"/>
      <w:pPr>
        <w:tabs>
          <w:tab w:val="left" w:pos="990"/>
        </w:tabs>
        <w:ind w:left="990" w:hanging="99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20B2EF7"/>
    <w:multiLevelType w:val="multilevel"/>
    <w:tmpl w:val="520B2EF7"/>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729C7CA"/>
    <w:multiLevelType w:val="singleLevel"/>
    <w:tmpl w:val="5729C7CA"/>
    <w:lvl w:ilvl="0" w:tentative="0">
      <w:start w:val="5"/>
      <w:numFmt w:val="decimal"/>
      <w:pStyle w:val="91"/>
      <w:suff w:val="nothing"/>
      <w:lvlText w:val="（%1）"/>
      <w:lvlJc w:val="left"/>
      <w:pPr>
        <w:ind w:left="0" w:firstLine="0"/>
      </w:pPr>
    </w:lvl>
  </w:abstractNum>
  <w:abstractNum w:abstractNumId="8">
    <w:nsid w:val="65F8CBDF"/>
    <w:multiLevelType w:val="singleLevel"/>
    <w:tmpl w:val="65F8CBDF"/>
    <w:lvl w:ilvl="0" w:tentative="0">
      <w:start w:val="1"/>
      <w:numFmt w:val="decimal"/>
      <w:suff w:val="nothing"/>
      <w:lvlText w:val="（%1）"/>
      <w:lvlJc w:val="left"/>
    </w:lvl>
  </w:abstractNum>
  <w:num w:numId="1">
    <w:abstractNumId w:val="7"/>
  </w:num>
  <w:num w:numId="2">
    <w:abstractNumId w:val="4"/>
  </w:num>
  <w:num w:numId="3">
    <w:abstractNumId w:val="0"/>
  </w:num>
  <w:num w:numId="4">
    <w:abstractNumId w:val="1"/>
  </w:num>
  <w:num w:numId="5">
    <w:abstractNumId w:val="8"/>
  </w:num>
  <w:num w:numId="6">
    <w:abstractNumId w:val="2"/>
  </w:num>
  <w:num w:numId="7">
    <w:abstractNumId w:val="3"/>
    <w:lvlOverride w:ilvl="0">
      <w:startOverride w:val="6"/>
    </w:lvlOverride>
  </w:num>
  <w:num w:numId="8">
    <w:abstractNumId w:val="6"/>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B69CD"/>
    <w:rsid w:val="000003A4"/>
    <w:rsid w:val="0001116B"/>
    <w:rsid w:val="0002427F"/>
    <w:rsid w:val="000259D5"/>
    <w:rsid w:val="00040EFD"/>
    <w:rsid w:val="00055143"/>
    <w:rsid w:val="000562E6"/>
    <w:rsid w:val="00060431"/>
    <w:rsid w:val="000635B8"/>
    <w:rsid w:val="000736FD"/>
    <w:rsid w:val="00080749"/>
    <w:rsid w:val="0008349C"/>
    <w:rsid w:val="00097835"/>
    <w:rsid w:val="000A0D5B"/>
    <w:rsid w:val="000B63FA"/>
    <w:rsid w:val="000C11B8"/>
    <w:rsid w:val="000D153B"/>
    <w:rsid w:val="000D18D3"/>
    <w:rsid w:val="000D3DF9"/>
    <w:rsid w:val="000E108B"/>
    <w:rsid w:val="000E1CE6"/>
    <w:rsid w:val="000F4E23"/>
    <w:rsid w:val="00103983"/>
    <w:rsid w:val="0010786C"/>
    <w:rsid w:val="00114451"/>
    <w:rsid w:val="001307C6"/>
    <w:rsid w:val="00137DE9"/>
    <w:rsid w:val="00140A67"/>
    <w:rsid w:val="0014200F"/>
    <w:rsid w:val="001424C2"/>
    <w:rsid w:val="00143693"/>
    <w:rsid w:val="001619AB"/>
    <w:rsid w:val="001720AD"/>
    <w:rsid w:val="001805D5"/>
    <w:rsid w:val="00193E39"/>
    <w:rsid w:val="00196A64"/>
    <w:rsid w:val="001A0C7A"/>
    <w:rsid w:val="001A25DE"/>
    <w:rsid w:val="001A52AC"/>
    <w:rsid w:val="001B2D02"/>
    <w:rsid w:val="001B461B"/>
    <w:rsid w:val="001C18A0"/>
    <w:rsid w:val="001D26B0"/>
    <w:rsid w:val="001D58DC"/>
    <w:rsid w:val="001D7CAC"/>
    <w:rsid w:val="001F5653"/>
    <w:rsid w:val="0020257B"/>
    <w:rsid w:val="00202A5E"/>
    <w:rsid w:val="00202C35"/>
    <w:rsid w:val="00225AF0"/>
    <w:rsid w:val="00237872"/>
    <w:rsid w:val="002404C2"/>
    <w:rsid w:val="00243AE9"/>
    <w:rsid w:val="0025022B"/>
    <w:rsid w:val="002528E3"/>
    <w:rsid w:val="002573DA"/>
    <w:rsid w:val="002636A0"/>
    <w:rsid w:val="00266447"/>
    <w:rsid w:val="00277007"/>
    <w:rsid w:val="00280AF5"/>
    <w:rsid w:val="002812D5"/>
    <w:rsid w:val="00284FB2"/>
    <w:rsid w:val="00287A54"/>
    <w:rsid w:val="002925FE"/>
    <w:rsid w:val="002A207F"/>
    <w:rsid w:val="002A2A6D"/>
    <w:rsid w:val="002B4CC0"/>
    <w:rsid w:val="002B7CD0"/>
    <w:rsid w:val="002D6561"/>
    <w:rsid w:val="002F037F"/>
    <w:rsid w:val="002F52D5"/>
    <w:rsid w:val="003074C4"/>
    <w:rsid w:val="00311BB1"/>
    <w:rsid w:val="00314879"/>
    <w:rsid w:val="00324BA0"/>
    <w:rsid w:val="003302DD"/>
    <w:rsid w:val="00331308"/>
    <w:rsid w:val="00356506"/>
    <w:rsid w:val="00356BD3"/>
    <w:rsid w:val="0036542C"/>
    <w:rsid w:val="00371D34"/>
    <w:rsid w:val="00377136"/>
    <w:rsid w:val="00380EB9"/>
    <w:rsid w:val="00381CB1"/>
    <w:rsid w:val="00382378"/>
    <w:rsid w:val="003863E4"/>
    <w:rsid w:val="00390FE2"/>
    <w:rsid w:val="00393AF0"/>
    <w:rsid w:val="003A0F61"/>
    <w:rsid w:val="003B233C"/>
    <w:rsid w:val="003B41F0"/>
    <w:rsid w:val="003B7F8A"/>
    <w:rsid w:val="003C3B09"/>
    <w:rsid w:val="003F7CBF"/>
    <w:rsid w:val="00407FE4"/>
    <w:rsid w:val="00415625"/>
    <w:rsid w:val="00416EAB"/>
    <w:rsid w:val="00421453"/>
    <w:rsid w:val="00436EEA"/>
    <w:rsid w:val="004451C8"/>
    <w:rsid w:val="00447124"/>
    <w:rsid w:val="00463C3F"/>
    <w:rsid w:val="00463E4F"/>
    <w:rsid w:val="0046653C"/>
    <w:rsid w:val="00466E14"/>
    <w:rsid w:val="0049395F"/>
    <w:rsid w:val="004A200C"/>
    <w:rsid w:val="004A4A04"/>
    <w:rsid w:val="004A6981"/>
    <w:rsid w:val="004C1F84"/>
    <w:rsid w:val="004C32A4"/>
    <w:rsid w:val="004C6FF1"/>
    <w:rsid w:val="004F51AB"/>
    <w:rsid w:val="00505F58"/>
    <w:rsid w:val="00510EFF"/>
    <w:rsid w:val="00547D18"/>
    <w:rsid w:val="00590FAA"/>
    <w:rsid w:val="00591C02"/>
    <w:rsid w:val="00595F8A"/>
    <w:rsid w:val="005A386B"/>
    <w:rsid w:val="005B3F1F"/>
    <w:rsid w:val="005B605F"/>
    <w:rsid w:val="005C4F9A"/>
    <w:rsid w:val="005D6115"/>
    <w:rsid w:val="005D6956"/>
    <w:rsid w:val="005E63BD"/>
    <w:rsid w:val="005F2C71"/>
    <w:rsid w:val="00607709"/>
    <w:rsid w:val="00614BFC"/>
    <w:rsid w:val="00625E04"/>
    <w:rsid w:val="00642C12"/>
    <w:rsid w:val="00654ED5"/>
    <w:rsid w:val="00660C20"/>
    <w:rsid w:val="00666EAA"/>
    <w:rsid w:val="00677E70"/>
    <w:rsid w:val="00677F8C"/>
    <w:rsid w:val="006825C4"/>
    <w:rsid w:val="006B0362"/>
    <w:rsid w:val="006B5EE3"/>
    <w:rsid w:val="006B70D2"/>
    <w:rsid w:val="006C1292"/>
    <w:rsid w:val="006D7A64"/>
    <w:rsid w:val="006E0A90"/>
    <w:rsid w:val="006E64F6"/>
    <w:rsid w:val="006F18CD"/>
    <w:rsid w:val="00715072"/>
    <w:rsid w:val="00716258"/>
    <w:rsid w:val="00720671"/>
    <w:rsid w:val="00757C77"/>
    <w:rsid w:val="00772102"/>
    <w:rsid w:val="00774737"/>
    <w:rsid w:val="0077608C"/>
    <w:rsid w:val="0078323F"/>
    <w:rsid w:val="00796BA4"/>
    <w:rsid w:val="007A63BB"/>
    <w:rsid w:val="007B0FD3"/>
    <w:rsid w:val="007C46D8"/>
    <w:rsid w:val="007C538E"/>
    <w:rsid w:val="007C708A"/>
    <w:rsid w:val="007C7D00"/>
    <w:rsid w:val="007D7A17"/>
    <w:rsid w:val="007F4BD9"/>
    <w:rsid w:val="00802481"/>
    <w:rsid w:val="008063AC"/>
    <w:rsid w:val="00813D3F"/>
    <w:rsid w:val="008460FD"/>
    <w:rsid w:val="008643CA"/>
    <w:rsid w:val="008763C1"/>
    <w:rsid w:val="00880EC0"/>
    <w:rsid w:val="008821D0"/>
    <w:rsid w:val="00887F5A"/>
    <w:rsid w:val="008A5D37"/>
    <w:rsid w:val="008A7937"/>
    <w:rsid w:val="008A7ACF"/>
    <w:rsid w:val="008B0801"/>
    <w:rsid w:val="008B7242"/>
    <w:rsid w:val="008C4AD5"/>
    <w:rsid w:val="00923A57"/>
    <w:rsid w:val="0093275F"/>
    <w:rsid w:val="009534A2"/>
    <w:rsid w:val="0095530A"/>
    <w:rsid w:val="0096296C"/>
    <w:rsid w:val="009707F1"/>
    <w:rsid w:val="00975B99"/>
    <w:rsid w:val="00984AA9"/>
    <w:rsid w:val="00995E55"/>
    <w:rsid w:val="009A6D28"/>
    <w:rsid w:val="009B67A3"/>
    <w:rsid w:val="009C5348"/>
    <w:rsid w:val="009C628D"/>
    <w:rsid w:val="009C66F6"/>
    <w:rsid w:val="009E29DF"/>
    <w:rsid w:val="00A1577E"/>
    <w:rsid w:val="00A179AC"/>
    <w:rsid w:val="00A328F0"/>
    <w:rsid w:val="00A33B4E"/>
    <w:rsid w:val="00A34CB8"/>
    <w:rsid w:val="00A351C2"/>
    <w:rsid w:val="00A631E7"/>
    <w:rsid w:val="00A67B5E"/>
    <w:rsid w:val="00A84703"/>
    <w:rsid w:val="00A848C2"/>
    <w:rsid w:val="00A87265"/>
    <w:rsid w:val="00A91462"/>
    <w:rsid w:val="00A9481F"/>
    <w:rsid w:val="00A96866"/>
    <w:rsid w:val="00AC0DFC"/>
    <w:rsid w:val="00AD6875"/>
    <w:rsid w:val="00AE2D68"/>
    <w:rsid w:val="00AF4C57"/>
    <w:rsid w:val="00AF6EA6"/>
    <w:rsid w:val="00B032F5"/>
    <w:rsid w:val="00B05507"/>
    <w:rsid w:val="00B1010E"/>
    <w:rsid w:val="00B17B04"/>
    <w:rsid w:val="00B26198"/>
    <w:rsid w:val="00B30085"/>
    <w:rsid w:val="00B314AF"/>
    <w:rsid w:val="00B3253E"/>
    <w:rsid w:val="00B5016E"/>
    <w:rsid w:val="00B75C8A"/>
    <w:rsid w:val="00B821F7"/>
    <w:rsid w:val="00B852EB"/>
    <w:rsid w:val="00B92197"/>
    <w:rsid w:val="00B9368D"/>
    <w:rsid w:val="00BB5925"/>
    <w:rsid w:val="00BB6403"/>
    <w:rsid w:val="00BC584D"/>
    <w:rsid w:val="00BE5177"/>
    <w:rsid w:val="00BF0764"/>
    <w:rsid w:val="00BF52AC"/>
    <w:rsid w:val="00C0015C"/>
    <w:rsid w:val="00C03857"/>
    <w:rsid w:val="00C05589"/>
    <w:rsid w:val="00C115F6"/>
    <w:rsid w:val="00C21E44"/>
    <w:rsid w:val="00C3030E"/>
    <w:rsid w:val="00C30A96"/>
    <w:rsid w:val="00C34994"/>
    <w:rsid w:val="00C61F49"/>
    <w:rsid w:val="00C66111"/>
    <w:rsid w:val="00C704CE"/>
    <w:rsid w:val="00C737B2"/>
    <w:rsid w:val="00C8501F"/>
    <w:rsid w:val="00C866D9"/>
    <w:rsid w:val="00CA159B"/>
    <w:rsid w:val="00CA6A67"/>
    <w:rsid w:val="00CB4653"/>
    <w:rsid w:val="00CB69CD"/>
    <w:rsid w:val="00CC1053"/>
    <w:rsid w:val="00CC1FA4"/>
    <w:rsid w:val="00CD03F3"/>
    <w:rsid w:val="00CF78D8"/>
    <w:rsid w:val="00D019E3"/>
    <w:rsid w:val="00D402AB"/>
    <w:rsid w:val="00D40F1B"/>
    <w:rsid w:val="00D46180"/>
    <w:rsid w:val="00D52A7D"/>
    <w:rsid w:val="00D72385"/>
    <w:rsid w:val="00D83BB5"/>
    <w:rsid w:val="00DB5ECB"/>
    <w:rsid w:val="00DB6BB8"/>
    <w:rsid w:val="00DC0CF5"/>
    <w:rsid w:val="00DD4516"/>
    <w:rsid w:val="00DE495A"/>
    <w:rsid w:val="00DF67EF"/>
    <w:rsid w:val="00E00611"/>
    <w:rsid w:val="00E05691"/>
    <w:rsid w:val="00E06AA0"/>
    <w:rsid w:val="00E07D91"/>
    <w:rsid w:val="00E1001E"/>
    <w:rsid w:val="00E206C3"/>
    <w:rsid w:val="00E207CF"/>
    <w:rsid w:val="00E2127D"/>
    <w:rsid w:val="00E22054"/>
    <w:rsid w:val="00E4376E"/>
    <w:rsid w:val="00E46F64"/>
    <w:rsid w:val="00E529E7"/>
    <w:rsid w:val="00E64D9B"/>
    <w:rsid w:val="00E652D9"/>
    <w:rsid w:val="00E74B42"/>
    <w:rsid w:val="00E77610"/>
    <w:rsid w:val="00E86D51"/>
    <w:rsid w:val="00EB2856"/>
    <w:rsid w:val="00EB4FC9"/>
    <w:rsid w:val="00EC463D"/>
    <w:rsid w:val="00EC6D1E"/>
    <w:rsid w:val="00ED3B36"/>
    <w:rsid w:val="00EE3479"/>
    <w:rsid w:val="00EF5054"/>
    <w:rsid w:val="00EF71F8"/>
    <w:rsid w:val="00EF7920"/>
    <w:rsid w:val="00EF7ECF"/>
    <w:rsid w:val="00F122D3"/>
    <w:rsid w:val="00F155A5"/>
    <w:rsid w:val="00F15793"/>
    <w:rsid w:val="00F203E7"/>
    <w:rsid w:val="00F27AFD"/>
    <w:rsid w:val="00F517E4"/>
    <w:rsid w:val="00F52B24"/>
    <w:rsid w:val="00F53C5C"/>
    <w:rsid w:val="00F7336D"/>
    <w:rsid w:val="00F77126"/>
    <w:rsid w:val="00F80B56"/>
    <w:rsid w:val="00F8219C"/>
    <w:rsid w:val="00F82BD0"/>
    <w:rsid w:val="00F858A1"/>
    <w:rsid w:val="00F8657E"/>
    <w:rsid w:val="00F93509"/>
    <w:rsid w:val="00FA53BE"/>
    <w:rsid w:val="00FA54A5"/>
    <w:rsid w:val="00FB1DE6"/>
    <w:rsid w:val="00FB3B64"/>
    <w:rsid w:val="00FB4DCC"/>
    <w:rsid w:val="00FB7660"/>
    <w:rsid w:val="00FD3143"/>
    <w:rsid w:val="00FF5A9A"/>
    <w:rsid w:val="00FF6B8F"/>
    <w:rsid w:val="00FF6DD5"/>
    <w:rsid w:val="00FF737A"/>
    <w:rsid w:val="01AE3B09"/>
    <w:rsid w:val="0B842107"/>
    <w:rsid w:val="106A5ABE"/>
    <w:rsid w:val="14954059"/>
    <w:rsid w:val="1549623D"/>
    <w:rsid w:val="17B30529"/>
    <w:rsid w:val="1E14277E"/>
    <w:rsid w:val="209F2BC1"/>
    <w:rsid w:val="22196A51"/>
    <w:rsid w:val="2482006E"/>
    <w:rsid w:val="2A330267"/>
    <w:rsid w:val="2D372B6F"/>
    <w:rsid w:val="2D566882"/>
    <w:rsid w:val="2DE847CB"/>
    <w:rsid w:val="31FE4835"/>
    <w:rsid w:val="34ED5CD3"/>
    <w:rsid w:val="353413EF"/>
    <w:rsid w:val="36FD2516"/>
    <w:rsid w:val="3BDE794A"/>
    <w:rsid w:val="3CAD7601"/>
    <w:rsid w:val="3F7A2F8B"/>
    <w:rsid w:val="41A20DE9"/>
    <w:rsid w:val="42E2769C"/>
    <w:rsid w:val="47531788"/>
    <w:rsid w:val="48B36E8C"/>
    <w:rsid w:val="4A0100B2"/>
    <w:rsid w:val="4AFD23A1"/>
    <w:rsid w:val="4B0D1D6A"/>
    <w:rsid w:val="4C191E1B"/>
    <w:rsid w:val="4D1577CF"/>
    <w:rsid w:val="4F6A295B"/>
    <w:rsid w:val="518207EE"/>
    <w:rsid w:val="53D61939"/>
    <w:rsid w:val="55CD498F"/>
    <w:rsid w:val="5B7722EA"/>
    <w:rsid w:val="5EF56E26"/>
    <w:rsid w:val="60494E44"/>
    <w:rsid w:val="627232B5"/>
    <w:rsid w:val="66D836A9"/>
    <w:rsid w:val="67380D62"/>
    <w:rsid w:val="68952239"/>
    <w:rsid w:val="697168BE"/>
    <w:rsid w:val="6A690045"/>
    <w:rsid w:val="6E9D4A13"/>
    <w:rsid w:val="74E84AB5"/>
    <w:rsid w:val="758B663F"/>
    <w:rsid w:val="764F621F"/>
    <w:rsid w:val="78C025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9"/>
    <w:qFormat/>
    <w:uiPriority w:val="0"/>
    <w:pPr>
      <w:keepNext/>
      <w:keepLines/>
      <w:spacing w:before="340" w:after="330" w:line="576" w:lineRule="auto"/>
      <w:outlineLvl w:val="0"/>
    </w:pPr>
    <w:rPr>
      <w:b/>
      <w:bCs/>
      <w:kern w:val="44"/>
      <w:sz w:val="44"/>
      <w:szCs w:val="44"/>
      <w:lang w:val="zh-CN"/>
    </w:rPr>
  </w:style>
  <w:style w:type="paragraph" w:styleId="5">
    <w:name w:val="heading 2"/>
    <w:basedOn w:val="1"/>
    <w:next w:val="1"/>
    <w:link w:val="60"/>
    <w:qFormat/>
    <w:uiPriority w:val="0"/>
    <w:pPr>
      <w:autoSpaceDE w:val="0"/>
      <w:autoSpaceDN w:val="0"/>
      <w:adjustRightInd w:val="0"/>
      <w:snapToGrid w:val="0"/>
      <w:spacing w:line="360" w:lineRule="auto"/>
      <w:jc w:val="left"/>
      <w:outlineLvl w:val="1"/>
    </w:pPr>
    <w:rPr>
      <w:rFonts w:ascii="仿宋_GB2312" w:hAnsi="宋体" w:eastAsia="仿宋_GB2312" w:cs="MingLiU"/>
      <w:b/>
      <w:spacing w:val="1"/>
      <w:w w:val="99"/>
      <w:sz w:val="28"/>
      <w:szCs w:val="32"/>
    </w:rPr>
  </w:style>
  <w:style w:type="paragraph" w:styleId="6">
    <w:name w:val="heading 3"/>
    <w:basedOn w:val="1"/>
    <w:next w:val="1"/>
    <w:link w:val="61"/>
    <w:qFormat/>
    <w:uiPriority w:val="0"/>
    <w:pPr>
      <w:autoSpaceDE w:val="0"/>
      <w:autoSpaceDN w:val="0"/>
      <w:adjustRightInd w:val="0"/>
      <w:spacing w:before="16"/>
      <w:jc w:val="left"/>
      <w:outlineLvl w:val="2"/>
    </w:pPr>
    <w:rPr>
      <w:rFonts w:ascii="仿宋_GB2312" w:hAnsi="宋体" w:eastAsia="仿宋_GB2312" w:cs="MingLiU"/>
      <w:b/>
      <w:sz w:val="24"/>
      <w:szCs w:val="28"/>
    </w:rPr>
  </w:style>
  <w:style w:type="paragraph" w:styleId="7">
    <w:name w:val="heading 4"/>
    <w:basedOn w:val="1"/>
    <w:next w:val="1"/>
    <w:link w:val="62"/>
    <w:qFormat/>
    <w:uiPriority w:val="0"/>
    <w:pPr>
      <w:jc w:val="center"/>
      <w:outlineLvl w:val="3"/>
    </w:pPr>
  </w:style>
  <w:style w:type="paragraph" w:styleId="8">
    <w:name w:val="heading 5"/>
    <w:basedOn w:val="1"/>
    <w:next w:val="1"/>
    <w:link w:val="63"/>
    <w:qFormat/>
    <w:uiPriority w:val="0"/>
    <w:pPr>
      <w:keepNext/>
      <w:tabs>
        <w:tab w:val="left" w:pos="1008"/>
      </w:tabs>
      <w:ind w:left="1008" w:hanging="1008"/>
      <w:outlineLvl w:val="4"/>
    </w:pPr>
    <w:rPr>
      <w:i/>
      <w:sz w:val="22"/>
    </w:rPr>
  </w:style>
  <w:style w:type="paragraph" w:styleId="9">
    <w:name w:val="heading 6"/>
    <w:basedOn w:val="1"/>
    <w:next w:val="1"/>
    <w:link w:val="64"/>
    <w:qFormat/>
    <w:uiPriority w:val="0"/>
    <w:pPr>
      <w:keepNext/>
      <w:tabs>
        <w:tab w:val="left" w:pos="1152"/>
      </w:tabs>
      <w:ind w:left="1152" w:hanging="1152"/>
      <w:outlineLvl w:val="5"/>
    </w:pPr>
    <w:rPr>
      <w:i/>
      <w:sz w:val="22"/>
    </w:rPr>
  </w:style>
  <w:style w:type="paragraph" w:styleId="10">
    <w:name w:val="heading 7"/>
    <w:basedOn w:val="1"/>
    <w:next w:val="1"/>
    <w:link w:val="65"/>
    <w:qFormat/>
    <w:uiPriority w:val="0"/>
    <w:pPr>
      <w:keepNext/>
      <w:keepLines/>
      <w:spacing w:before="240" w:after="64" w:line="316" w:lineRule="auto"/>
      <w:outlineLvl w:val="6"/>
    </w:pPr>
    <w:rPr>
      <w:b/>
      <w:bCs/>
      <w:sz w:val="24"/>
    </w:rPr>
  </w:style>
  <w:style w:type="paragraph" w:styleId="11">
    <w:name w:val="heading 8"/>
    <w:basedOn w:val="1"/>
    <w:next w:val="1"/>
    <w:link w:val="66"/>
    <w:qFormat/>
    <w:uiPriority w:val="0"/>
    <w:pPr>
      <w:keepNext/>
      <w:tabs>
        <w:tab w:val="left" w:pos="1440"/>
      </w:tabs>
      <w:ind w:left="1440" w:hanging="1440"/>
      <w:outlineLvl w:val="7"/>
    </w:pPr>
    <w:rPr>
      <w:i/>
    </w:rPr>
  </w:style>
  <w:style w:type="paragraph" w:styleId="12">
    <w:name w:val="heading 9"/>
    <w:basedOn w:val="1"/>
    <w:next w:val="1"/>
    <w:link w:val="67"/>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lang w:val="zh-CN"/>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31"/>
    <w:unhideWhenUsed/>
    <w:qFormat/>
    <w:uiPriority w:val="0"/>
    <w:pPr>
      <w:spacing w:after="120"/>
      <w:ind w:firstLine="420" w:firstLineChars="100"/>
    </w:pPr>
    <w:rPr>
      <w:rFonts w:ascii="Times New Roman" w:hAnsi="Times New Roman" w:eastAsia="宋体" w:cs="Times New Roman"/>
    </w:rPr>
  </w:style>
  <w:style w:type="paragraph" w:styleId="3">
    <w:name w:val="Body Text"/>
    <w:basedOn w:val="1"/>
    <w:link w:val="87"/>
    <w:qFormat/>
    <w:uiPriority w:val="0"/>
    <w:rPr>
      <w:rFonts w:asciiTheme="minorHAnsi" w:hAnsiTheme="minorHAnsi" w:eastAsiaTheme="minorEastAsia" w:cstheme="minorBidi"/>
    </w:rPr>
  </w:style>
  <w:style w:type="paragraph" w:styleId="13">
    <w:name w:val="toc 7"/>
    <w:basedOn w:val="1"/>
    <w:next w:val="1"/>
    <w:qFormat/>
    <w:uiPriority w:val="39"/>
    <w:pPr>
      <w:ind w:left="2520" w:leftChars="1200"/>
    </w:pPr>
    <w:rPr>
      <w:rFonts w:ascii="Calibri" w:hAnsi="Calibri"/>
      <w:szCs w:val="22"/>
    </w:rPr>
  </w:style>
  <w:style w:type="paragraph" w:styleId="14">
    <w:name w:val="Note Heading"/>
    <w:basedOn w:val="1"/>
    <w:next w:val="1"/>
    <w:link w:val="138"/>
    <w:qFormat/>
    <w:uiPriority w:val="0"/>
    <w:pPr>
      <w:spacing w:line="240" w:lineRule="exact"/>
    </w:pPr>
    <w:rPr>
      <w:rFonts w:ascii="宋体" w:hAnsi="宋体" w:eastAsia="仿宋_GB2312" w:cstheme="minorBidi"/>
      <w:kern w:val="15"/>
      <w:sz w:val="15"/>
      <w:szCs w:val="32"/>
      <w:lang w:val="sv-SE"/>
    </w:rPr>
  </w:style>
  <w:style w:type="paragraph" w:styleId="15">
    <w:name w:val="Normal Indent"/>
    <w:basedOn w:val="1"/>
    <w:qFormat/>
    <w:uiPriority w:val="0"/>
    <w:pPr>
      <w:widowControl/>
      <w:ind w:firstLine="200" w:firstLineChars="200"/>
      <w:jc w:val="left"/>
    </w:pPr>
    <w:rPr>
      <w:kern w:val="0"/>
      <w:sz w:val="20"/>
      <w:szCs w:val="20"/>
    </w:rPr>
  </w:style>
  <w:style w:type="paragraph" w:styleId="16">
    <w:name w:val="caption"/>
    <w:basedOn w:val="1"/>
    <w:next w:val="1"/>
    <w:qFormat/>
    <w:uiPriority w:val="0"/>
    <w:pPr>
      <w:widowControl/>
      <w:spacing w:before="152" w:after="160"/>
      <w:jc w:val="left"/>
    </w:pPr>
    <w:rPr>
      <w:rFonts w:ascii="Arial" w:hAnsi="Arial" w:eastAsia="黑体" w:cs="Arial"/>
      <w:kern w:val="0"/>
      <w:sz w:val="20"/>
      <w:szCs w:val="20"/>
    </w:rPr>
  </w:style>
  <w:style w:type="paragraph" w:styleId="17">
    <w:name w:val="Document Map"/>
    <w:basedOn w:val="1"/>
    <w:link w:val="68"/>
    <w:qFormat/>
    <w:uiPriority w:val="0"/>
    <w:pPr>
      <w:shd w:val="clear" w:color="auto" w:fill="000080"/>
    </w:pPr>
    <w:rPr>
      <w:rFonts w:ascii="Calibri" w:hAnsi="Calibri" w:eastAsiaTheme="minorEastAsia"/>
    </w:rPr>
  </w:style>
  <w:style w:type="paragraph" w:styleId="18">
    <w:name w:val="annotation text"/>
    <w:basedOn w:val="1"/>
    <w:link w:val="112"/>
    <w:unhideWhenUsed/>
    <w:qFormat/>
    <w:uiPriority w:val="99"/>
    <w:pPr>
      <w:jc w:val="left"/>
    </w:pPr>
  </w:style>
  <w:style w:type="paragraph" w:styleId="19">
    <w:name w:val="Body Text 3"/>
    <w:basedOn w:val="1"/>
    <w:link w:val="92"/>
    <w:qFormat/>
    <w:uiPriority w:val="0"/>
    <w:pPr>
      <w:spacing w:after="120"/>
    </w:pPr>
    <w:rPr>
      <w:rFonts w:asciiTheme="minorHAnsi" w:hAnsiTheme="minorHAnsi" w:eastAsiaTheme="minorEastAsia" w:cstheme="minorBidi"/>
      <w:sz w:val="16"/>
      <w:szCs w:val="16"/>
    </w:rPr>
  </w:style>
  <w:style w:type="paragraph" w:styleId="20">
    <w:name w:val="Body Text Indent"/>
    <w:basedOn w:val="1"/>
    <w:link w:val="78"/>
    <w:qFormat/>
    <w:uiPriority w:val="0"/>
    <w:pPr>
      <w:ind w:firstLine="407" w:firstLineChars="200"/>
    </w:pPr>
    <w:rPr>
      <w:rFonts w:ascii="黑体" w:eastAsia="黑体" w:hAnsiTheme="minorHAnsi" w:cstheme="minorBidi"/>
      <w:sz w:val="44"/>
      <w:szCs w:val="44"/>
    </w:rPr>
  </w:style>
  <w:style w:type="paragraph" w:styleId="21">
    <w:name w:val="Block Text"/>
    <w:basedOn w:val="1"/>
    <w:qFormat/>
    <w:uiPriority w:val="0"/>
    <w:pPr>
      <w:spacing w:after="120"/>
      <w:ind w:left="700" w:leftChars="700" w:right="700" w:rightChars="700"/>
    </w:pPr>
  </w:style>
  <w:style w:type="paragraph" w:styleId="22">
    <w:name w:val="index 4"/>
    <w:basedOn w:val="1"/>
    <w:next w:val="1"/>
    <w:qFormat/>
    <w:uiPriority w:val="0"/>
    <w:pPr>
      <w:ind w:left="600" w:leftChars="600"/>
    </w:pPr>
  </w:style>
  <w:style w:type="paragraph" w:styleId="23">
    <w:name w:val="toc 5"/>
    <w:basedOn w:val="1"/>
    <w:next w:val="1"/>
    <w:qFormat/>
    <w:uiPriority w:val="39"/>
    <w:pPr>
      <w:ind w:left="1680" w:leftChars="800"/>
    </w:pPr>
    <w:rPr>
      <w:rFonts w:ascii="Calibri" w:hAnsi="Calibri"/>
      <w:szCs w:val="22"/>
    </w:rPr>
  </w:style>
  <w:style w:type="paragraph" w:styleId="24">
    <w:name w:val="toc 3"/>
    <w:basedOn w:val="1"/>
    <w:next w:val="1"/>
    <w:qFormat/>
    <w:uiPriority w:val="0"/>
    <w:pPr>
      <w:tabs>
        <w:tab w:val="right" w:leader="dot" w:pos="8613"/>
      </w:tabs>
      <w:ind w:left="420"/>
      <w:jc w:val="left"/>
    </w:pPr>
    <w:rPr>
      <w:rFonts w:ascii="Calibri" w:hAnsi="Calibri" w:eastAsia="仿宋_GB2312"/>
      <w:iCs/>
      <w:szCs w:val="20"/>
    </w:rPr>
  </w:style>
  <w:style w:type="paragraph" w:styleId="25">
    <w:name w:val="Plain Text"/>
    <w:basedOn w:val="1"/>
    <w:link w:val="84"/>
    <w:qFormat/>
    <w:uiPriority w:val="0"/>
    <w:rPr>
      <w:rFonts w:ascii="宋体" w:hAnsi="Courier New" w:cstheme="minorBidi"/>
      <w:sz w:val="28"/>
      <w:szCs w:val="28"/>
    </w:rPr>
  </w:style>
  <w:style w:type="paragraph" w:styleId="26">
    <w:name w:val="toc 8"/>
    <w:basedOn w:val="1"/>
    <w:next w:val="1"/>
    <w:qFormat/>
    <w:uiPriority w:val="39"/>
    <w:pPr>
      <w:ind w:left="2940" w:leftChars="1400"/>
    </w:pPr>
    <w:rPr>
      <w:rFonts w:ascii="Calibri" w:hAnsi="Calibri"/>
      <w:szCs w:val="22"/>
    </w:rPr>
  </w:style>
  <w:style w:type="paragraph" w:styleId="27">
    <w:name w:val="Date"/>
    <w:basedOn w:val="1"/>
    <w:next w:val="1"/>
    <w:link w:val="104"/>
    <w:qFormat/>
    <w:uiPriority w:val="0"/>
    <w:pPr>
      <w:ind w:left="100" w:leftChars="2500"/>
    </w:pPr>
    <w:rPr>
      <w:rFonts w:ascii="Calibri" w:hAnsi="Calibri" w:eastAsiaTheme="minorEastAsia"/>
    </w:rPr>
  </w:style>
  <w:style w:type="paragraph" w:styleId="28">
    <w:name w:val="Body Text Indent 2"/>
    <w:basedOn w:val="1"/>
    <w:link w:val="100"/>
    <w:qFormat/>
    <w:uiPriority w:val="0"/>
    <w:pPr>
      <w:widowControl/>
      <w:spacing w:line="480" w:lineRule="auto"/>
      <w:ind w:firstLine="560"/>
      <w:jc w:val="left"/>
    </w:pPr>
    <w:rPr>
      <w:rFonts w:ascii="Calibri" w:hAnsi="Calibri" w:eastAsiaTheme="minorEastAsia"/>
      <w:sz w:val="28"/>
    </w:rPr>
  </w:style>
  <w:style w:type="paragraph" w:styleId="29">
    <w:name w:val="endnote text"/>
    <w:basedOn w:val="1"/>
    <w:link w:val="75"/>
    <w:qFormat/>
    <w:uiPriority w:val="0"/>
    <w:pPr>
      <w:widowControl/>
      <w:snapToGrid w:val="0"/>
      <w:jc w:val="left"/>
    </w:pPr>
    <w:rPr>
      <w:rFonts w:ascii="宋体" w:hAnsi="宋体" w:cstheme="minorBidi"/>
      <w:sz w:val="18"/>
      <w:szCs w:val="18"/>
    </w:rPr>
  </w:style>
  <w:style w:type="paragraph" w:styleId="30">
    <w:name w:val="Balloon Text"/>
    <w:basedOn w:val="1"/>
    <w:link w:val="74"/>
    <w:qFormat/>
    <w:uiPriority w:val="0"/>
    <w:rPr>
      <w:rFonts w:ascii="宋体" w:hAnsi="宋体" w:cstheme="minorBidi"/>
      <w:sz w:val="18"/>
      <w:szCs w:val="18"/>
    </w:rPr>
  </w:style>
  <w:style w:type="paragraph" w:styleId="31">
    <w:name w:val="footer"/>
    <w:basedOn w:val="1"/>
    <w:link w:val="95"/>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2">
    <w:name w:val="header"/>
    <w:basedOn w:val="1"/>
    <w:link w:val="99"/>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3">
    <w:name w:val="toc 1"/>
    <w:basedOn w:val="1"/>
    <w:next w:val="1"/>
    <w:qFormat/>
    <w:uiPriority w:val="39"/>
    <w:pPr>
      <w:spacing w:before="120" w:after="120"/>
      <w:jc w:val="left"/>
    </w:pPr>
    <w:rPr>
      <w:rFonts w:ascii="Calibri" w:hAnsi="Calibri" w:eastAsia="仿宋_GB2312"/>
      <w:b/>
      <w:bCs/>
      <w:caps/>
      <w:sz w:val="28"/>
      <w:szCs w:val="20"/>
    </w:rPr>
  </w:style>
  <w:style w:type="paragraph" w:styleId="34">
    <w:name w:val="toc 4"/>
    <w:basedOn w:val="1"/>
    <w:next w:val="1"/>
    <w:qFormat/>
    <w:uiPriority w:val="39"/>
    <w:pPr>
      <w:ind w:left="1260" w:leftChars="600"/>
    </w:pPr>
    <w:rPr>
      <w:rFonts w:ascii="Calibri" w:hAnsi="Calibri"/>
      <w:szCs w:val="22"/>
    </w:rPr>
  </w:style>
  <w:style w:type="paragraph" w:styleId="35">
    <w:name w:val="Subtitle"/>
    <w:basedOn w:val="1"/>
    <w:link w:val="86"/>
    <w:qFormat/>
    <w:uiPriority w:val="0"/>
    <w:pPr>
      <w:widowControl/>
      <w:jc w:val="center"/>
    </w:pPr>
    <w:rPr>
      <w:rFonts w:asciiTheme="minorHAnsi" w:hAnsiTheme="minorHAnsi" w:eastAsiaTheme="minorEastAsia" w:cstheme="minorBidi"/>
      <w:u w:val="single"/>
      <w:lang w:eastAsia="en-US"/>
    </w:rPr>
  </w:style>
  <w:style w:type="paragraph" w:styleId="36">
    <w:name w:val="footnote text"/>
    <w:basedOn w:val="1"/>
    <w:link w:val="85"/>
    <w:qFormat/>
    <w:uiPriority w:val="0"/>
    <w:pPr>
      <w:snapToGrid w:val="0"/>
      <w:jc w:val="left"/>
    </w:pPr>
    <w:rPr>
      <w:rFonts w:ascii="宋体" w:hAnsi="宋体" w:cstheme="minorBidi"/>
      <w:sz w:val="18"/>
      <w:szCs w:val="18"/>
    </w:rPr>
  </w:style>
  <w:style w:type="paragraph" w:styleId="37">
    <w:name w:val="toc 6"/>
    <w:basedOn w:val="1"/>
    <w:next w:val="1"/>
    <w:qFormat/>
    <w:uiPriority w:val="39"/>
    <w:pPr>
      <w:ind w:left="2100" w:leftChars="1000"/>
    </w:pPr>
    <w:rPr>
      <w:rFonts w:ascii="Calibri" w:hAnsi="Calibri"/>
      <w:szCs w:val="22"/>
    </w:rPr>
  </w:style>
  <w:style w:type="paragraph" w:styleId="38">
    <w:name w:val="Body Text Indent 3"/>
    <w:basedOn w:val="1"/>
    <w:link w:val="101"/>
    <w:qFormat/>
    <w:uiPriority w:val="0"/>
    <w:pPr>
      <w:spacing w:line="360" w:lineRule="auto"/>
      <w:ind w:firstLine="280" w:firstLineChars="100"/>
    </w:pPr>
    <w:rPr>
      <w:rFonts w:ascii="宋体" w:hAnsi="宋体" w:eastAsiaTheme="minorEastAsia"/>
      <w:sz w:val="28"/>
      <w:szCs w:val="28"/>
    </w:rPr>
  </w:style>
  <w:style w:type="paragraph" w:styleId="39">
    <w:name w:val="toc 2"/>
    <w:basedOn w:val="1"/>
    <w:next w:val="1"/>
    <w:qFormat/>
    <w:uiPriority w:val="39"/>
    <w:pPr>
      <w:tabs>
        <w:tab w:val="right" w:leader="dot" w:pos="8609"/>
      </w:tabs>
      <w:ind w:left="210"/>
      <w:jc w:val="distribute"/>
    </w:pPr>
    <w:rPr>
      <w:rFonts w:ascii="Calibri" w:hAnsi="Calibri" w:eastAsia="仿宋_GB2312"/>
      <w:smallCaps/>
      <w:szCs w:val="20"/>
    </w:rPr>
  </w:style>
  <w:style w:type="paragraph" w:styleId="40">
    <w:name w:val="toc 9"/>
    <w:basedOn w:val="1"/>
    <w:next w:val="1"/>
    <w:qFormat/>
    <w:uiPriority w:val="39"/>
    <w:pPr>
      <w:ind w:left="3360" w:leftChars="1600"/>
    </w:pPr>
    <w:rPr>
      <w:rFonts w:ascii="Calibri" w:hAnsi="Calibri"/>
      <w:szCs w:val="22"/>
    </w:rPr>
  </w:style>
  <w:style w:type="paragraph" w:styleId="41">
    <w:name w:val="Body Text 2"/>
    <w:basedOn w:val="1"/>
    <w:link w:val="72"/>
    <w:qFormat/>
    <w:uiPriority w:val="0"/>
    <w:rPr>
      <w:rFonts w:ascii="宋体" w:hAnsi="宋体" w:cstheme="minorBidi"/>
      <w:i/>
      <w:iCs/>
      <w:sz w:val="26"/>
    </w:rPr>
  </w:style>
  <w:style w:type="paragraph" w:styleId="42">
    <w:name w:val="Message Header"/>
    <w:basedOn w:val="1"/>
    <w:link w:val="144"/>
    <w:qFormat/>
    <w:uiPriority w:val="0"/>
    <w:pPr>
      <w:pBdr>
        <w:top w:val="single" w:color="auto" w:sz="6" w:space="1"/>
        <w:left w:val="single" w:color="auto" w:sz="6" w:space="1"/>
        <w:bottom w:val="single" w:color="auto" w:sz="6" w:space="1"/>
        <w:right w:val="single" w:color="auto" w:sz="6" w:space="1"/>
      </w:pBdr>
      <w:shd w:val="pct20" w:color="auto" w:fill="auto"/>
      <w:spacing w:line="120" w:lineRule="exact"/>
    </w:pPr>
    <w:rPr>
      <w:rFonts w:ascii="宋体" w:hAnsi="宋体" w:eastAsia="仿宋_GB2312" w:cstheme="minorBidi"/>
      <w:kern w:val="15"/>
      <w:sz w:val="15"/>
      <w:szCs w:val="32"/>
      <w:shd w:val="pct20" w:color="auto" w:fill="auto"/>
      <w:lang w:val="sv-SE"/>
    </w:rPr>
  </w:style>
  <w:style w:type="paragraph" w:styleId="43">
    <w:name w:val="HTML Preformatted"/>
    <w:basedOn w:val="1"/>
    <w:link w:val="7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color w:val="000000"/>
      <w:sz w:val="24"/>
    </w:rPr>
  </w:style>
  <w:style w:type="paragraph" w:styleId="44">
    <w:name w:val="Normal (Web)"/>
    <w:basedOn w:val="1"/>
    <w:qFormat/>
    <w:uiPriority w:val="0"/>
    <w:rPr>
      <w:sz w:val="24"/>
    </w:rPr>
  </w:style>
  <w:style w:type="paragraph" w:styleId="45">
    <w:name w:val="index 1"/>
    <w:basedOn w:val="1"/>
    <w:next w:val="1"/>
    <w:qFormat/>
    <w:uiPriority w:val="0"/>
    <w:pPr>
      <w:widowControl/>
      <w:tabs>
        <w:tab w:val="left" w:pos="1135"/>
      </w:tabs>
      <w:spacing w:line="300" w:lineRule="atLeast"/>
      <w:jc w:val="center"/>
    </w:pPr>
    <w:rPr>
      <w:rFonts w:ascii="宋体" w:cs="Arial"/>
      <w:bCs/>
      <w:color w:val="000000"/>
      <w:sz w:val="24"/>
      <w:szCs w:val="21"/>
    </w:rPr>
  </w:style>
  <w:style w:type="paragraph" w:styleId="46">
    <w:name w:val="Title"/>
    <w:basedOn w:val="1"/>
    <w:link w:val="83"/>
    <w:qFormat/>
    <w:uiPriority w:val="0"/>
    <w:pPr>
      <w:widowControl/>
      <w:jc w:val="center"/>
    </w:pPr>
    <w:rPr>
      <w:rFonts w:asciiTheme="minorHAnsi" w:hAnsiTheme="minorHAnsi" w:eastAsiaTheme="minorEastAsia" w:cstheme="minorBidi"/>
      <w:u w:val="single"/>
      <w:lang w:eastAsia="en-US"/>
    </w:rPr>
  </w:style>
  <w:style w:type="paragraph" w:styleId="47">
    <w:name w:val="annotation subject"/>
    <w:basedOn w:val="18"/>
    <w:next w:val="18"/>
    <w:link w:val="98"/>
    <w:qFormat/>
    <w:uiPriority w:val="0"/>
    <w:rPr>
      <w:rFonts w:ascii="宋体" w:hAnsi="宋体" w:cstheme="minorBidi"/>
      <w:b/>
      <w:bCs/>
    </w:rPr>
  </w:style>
  <w:style w:type="paragraph" w:styleId="48">
    <w:name w:val="Body Text First Indent 2"/>
    <w:basedOn w:val="20"/>
    <w:link w:val="168"/>
    <w:qFormat/>
    <w:uiPriority w:val="0"/>
    <w:pPr>
      <w:spacing w:after="120"/>
      <w:ind w:left="200" w:leftChars="200" w:firstLine="420"/>
    </w:pPr>
    <w:rPr>
      <w:rFonts w:hAnsi="宋体"/>
      <w:color w:val="000000"/>
      <w:sz w:val="21"/>
      <w:szCs w:val="24"/>
    </w:rPr>
  </w:style>
  <w:style w:type="table" w:styleId="50">
    <w:name w:val="Table Grid"/>
    <w:basedOn w:val="4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2">
    <w:name w:val="Strong"/>
    <w:qFormat/>
    <w:uiPriority w:val="0"/>
    <w:rPr>
      <w:sz w:val="24"/>
    </w:rPr>
  </w:style>
  <w:style w:type="character" w:styleId="53">
    <w:name w:val="page number"/>
    <w:qFormat/>
    <w:uiPriority w:val="0"/>
    <w:rPr>
      <w:rFonts w:ascii="Times New Roman" w:hAnsi="Times New Roman" w:cs="Times New Roman"/>
    </w:rPr>
  </w:style>
  <w:style w:type="character" w:styleId="54">
    <w:name w:val="FollowedHyperlink"/>
    <w:basedOn w:val="51"/>
    <w:semiHidden/>
    <w:unhideWhenUsed/>
    <w:uiPriority w:val="99"/>
    <w:rPr>
      <w:color w:val="954F72" w:themeColor="followedHyperlink"/>
      <w:u w:val="single"/>
    </w:rPr>
  </w:style>
  <w:style w:type="character" w:styleId="55">
    <w:name w:val="Emphasis"/>
    <w:qFormat/>
    <w:uiPriority w:val="0"/>
    <w:rPr>
      <w:i/>
      <w:iCs/>
    </w:rPr>
  </w:style>
  <w:style w:type="character" w:styleId="56">
    <w:name w:val="Hyperlink"/>
    <w:qFormat/>
    <w:uiPriority w:val="99"/>
    <w:rPr>
      <w:color w:val="0000FF"/>
      <w:u w:val="single"/>
    </w:rPr>
  </w:style>
  <w:style w:type="character" w:styleId="57">
    <w:name w:val="annotation reference"/>
    <w:qFormat/>
    <w:uiPriority w:val="0"/>
    <w:rPr>
      <w:sz w:val="21"/>
      <w:szCs w:val="21"/>
    </w:rPr>
  </w:style>
  <w:style w:type="character" w:styleId="58">
    <w:name w:val="footnote reference"/>
    <w:unhideWhenUsed/>
    <w:qFormat/>
    <w:uiPriority w:val="99"/>
    <w:rPr>
      <w:vertAlign w:val="superscript"/>
    </w:rPr>
  </w:style>
  <w:style w:type="character" w:customStyle="1" w:styleId="59">
    <w:name w:val="标题 1 Char1"/>
    <w:basedOn w:val="51"/>
    <w:link w:val="4"/>
    <w:qFormat/>
    <w:uiPriority w:val="9"/>
    <w:rPr>
      <w:rFonts w:ascii="Times New Roman" w:hAnsi="Times New Roman" w:eastAsia="宋体" w:cs="Times New Roman"/>
      <w:b/>
      <w:bCs/>
      <w:kern w:val="44"/>
      <w:sz w:val="44"/>
      <w:szCs w:val="44"/>
      <w:lang w:val="zh-CN" w:eastAsia="zh-CN"/>
    </w:rPr>
  </w:style>
  <w:style w:type="character" w:customStyle="1" w:styleId="60">
    <w:name w:val="标题 2 Char1"/>
    <w:basedOn w:val="51"/>
    <w:link w:val="5"/>
    <w:qFormat/>
    <w:uiPriority w:val="9"/>
    <w:rPr>
      <w:rFonts w:ascii="仿宋_GB2312" w:hAnsi="宋体" w:eastAsia="仿宋_GB2312" w:cs="MingLiU"/>
      <w:b/>
      <w:spacing w:val="1"/>
      <w:w w:val="99"/>
      <w:sz w:val="28"/>
      <w:szCs w:val="32"/>
    </w:rPr>
  </w:style>
  <w:style w:type="character" w:customStyle="1" w:styleId="61">
    <w:name w:val="标题 3 Char1"/>
    <w:basedOn w:val="51"/>
    <w:link w:val="6"/>
    <w:qFormat/>
    <w:uiPriority w:val="9"/>
    <w:rPr>
      <w:rFonts w:ascii="仿宋_GB2312" w:hAnsi="宋体" w:eastAsia="仿宋_GB2312" w:cs="MingLiU"/>
      <w:b/>
      <w:sz w:val="24"/>
      <w:szCs w:val="28"/>
    </w:rPr>
  </w:style>
  <w:style w:type="character" w:customStyle="1" w:styleId="62">
    <w:name w:val="标题 4 Char1"/>
    <w:basedOn w:val="51"/>
    <w:link w:val="7"/>
    <w:qFormat/>
    <w:uiPriority w:val="9"/>
    <w:rPr>
      <w:rFonts w:ascii="仿宋_GB2312" w:hAnsi="宋体" w:eastAsia="仿宋_GB2312" w:cs="MingLiU"/>
      <w:b/>
      <w:sz w:val="24"/>
      <w:szCs w:val="28"/>
    </w:rPr>
  </w:style>
  <w:style w:type="character" w:customStyle="1" w:styleId="63">
    <w:name w:val="标题 5 Char1"/>
    <w:basedOn w:val="51"/>
    <w:link w:val="8"/>
    <w:qFormat/>
    <w:uiPriority w:val="9"/>
    <w:rPr>
      <w:rFonts w:ascii="Times New Roman" w:hAnsi="Times New Roman" w:eastAsia="宋体" w:cs="Times New Roman"/>
      <w:i/>
      <w:sz w:val="22"/>
      <w:szCs w:val="24"/>
    </w:rPr>
  </w:style>
  <w:style w:type="character" w:customStyle="1" w:styleId="64">
    <w:name w:val="标题 6 Char1"/>
    <w:basedOn w:val="51"/>
    <w:link w:val="9"/>
    <w:qFormat/>
    <w:uiPriority w:val="9"/>
    <w:rPr>
      <w:rFonts w:ascii="Times New Roman" w:hAnsi="Times New Roman" w:eastAsia="宋体" w:cs="Times New Roman"/>
      <w:i/>
      <w:sz w:val="22"/>
      <w:szCs w:val="24"/>
    </w:rPr>
  </w:style>
  <w:style w:type="character" w:customStyle="1" w:styleId="65">
    <w:name w:val="标题 7 Char1"/>
    <w:basedOn w:val="51"/>
    <w:link w:val="10"/>
    <w:qFormat/>
    <w:uiPriority w:val="9"/>
    <w:rPr>
      <w:rFonts w:ascii="Times New Roman" w:hAnsi="Times New Roman" w:eastAsia="宋体" w:cs="Times New Roman"/>
      <w:b/>
      <w:bCs/>
      <w:sz w:val="24"/>
      <w:szCs w:val="24"/>
    </w:rPr>
  </w:style>
  <w:style w:type="character" w:customStyle="1" w:styleId="66">
    <w:name w:val="标题 8 Char1"/>
    <w:basedOn w:val="51"/>
    <w:link w:val="11"/>
    <w:qFormat/>
    <w:uiPriority w:val="9"/>
    <w:rPr>
      <w:rFonts w:ascii="Times New Roman" w:hAnsi="Times New Roman" w:eastAsia="宋体" w:cs="Times New Roman"/>
      <w:i/>
      <w:szCs w:val="24"/>
    </w:rPr>
  </w:style>
  <w:style w:type="character" w:customStyle="1" w:styleId="67">
    <w:name w:val="标题 9 Char1"/>
    <w:basedOn w:val="51"/>
    <w:link w:val="12"/>
    <w:qFormat/>
    <w:uiPriority w:val="9"/>
    <w:rPr>
      <w:rFonts w:ascii="Times New Roman" w:hAnsi="Times New Roman" w:eastAsia="仿宋_GB2312" w:cs="Times New Roman"/>
      <w:kern w:val="0"/>
      <w:sz w:val="30"/>
      <w:szCs w:val="20"/>
      <w:lang w:val="zh-CN" w:eastAsia="zh-CN"/>
    </w:rPr>
  </w:style>
  <w:style w:type="character" w:customStyle="1" w:styleId="68">
    <w:name w:val="文档结构图 Char1"/>
    <w:link w:val="17"/>
    <w:qFormat/>
    <w:uiPriority w:val="0"/>
    <w:rPr>
      <w:rFonts w:ascii="Calibri" w:hAnsi="Calibri" w:cs="Times New Roman"/>
      <w:szCs w:val="24"/>
      <w:shd w:val="clear" w:color="auto" w:fill="000080"/>
    </w:rPr>
  </w:style>
  <w:style w:type="character" w:customStyle="1" w:styleId="69">
    <w:name w:val="引用 Char1"/>
    <w:link w:val="70"/>
    <w:qFormat/>
    <w:uiPriority w:val="0"/>
    <w:rPr>
      <w:rFonts w:ascii="Calibri" w:hAnsi="Calibri" w:eastAsia="宋体" w:cs="Times New Roman"/>
      <w:i/>
      <w:iCs/>
      <w:color w:val="000000"/>
    </w:rPr>
  </w:style>
  <w:style w:type="paragraph" w:customStyle="1" w:styleId="70">
    <w:name w:val="引用1"/>
    <w:basedOn w:val="1"/>
    <w:next w:val="1"/>
    <w:link w:val="69"/>
    <w:qFormat/>
    <w:uiPriority w:val="0"/>
    <w:rPr>
      <w:rFonts w:ascii="Calibri" w:hAnsi="Calibri"/>
      <w:i/>
      <w:iCs/>
      <w:color w:val="000000"/>
      <w:szCs w:val="22"/>
    </w:rPr>
  </w:style>
  <w:style w:type="character" w:customStyle="1" w:styleId="71">
    <w:name w:val="HTML 预设格式 Char1"/>
    <w:link w:val="43"/>
    <w:qFormat/>
    <w:uiPriority w:val="0"/>
    <w:rPr>
      <w:rFonts w:ascii="宋体" w:hAnsi="宋体" w:cs="宋体"/>
      <w:color w:val="000000"/>
      <w:sz w:val="24"/>
      <w:szCs w:val="24"/>
    </w:rPr>
  </w:style>
  <w:style w:type="character" w:customStyle="1" w:styleId="72">
    <w:name w:val="正文文本 2 Char1"/>
    <w:link w:val="41"/>
    <w:qFormat/>
    <w:locked/>
    <w:uiPriority w:val="99"/>
    <w:rPr>
      <w:rFonts w:ascii="宋体" w:hAnsi="宋体" w:eastAsia="宋体"/>
      <w:i/>
      <w:iCs/>
      <w:sz w:val="26"/>
      <w:szCs w:val="24"/>
    </w:rPr>
  </w:style>
  <w:style w:type="character" w:customStyle="1" w:styleId="73">
    <w:name w:val="HTML 预设格式 Char"/>
    <w:qFormat/>
    <w:uiPriority w:val="0"/>
    <w:rPr>
      <w:rFonts w:ascii="Courier New" w:hAnsi="Courier New" w:cs="Courier New"/>
      <w:kern w:val="2"/>
    </w:rPr>
  </w:style>
  <w:style w:type="character" w:customStyle="1" w:styleId="74">
    <w:name w:val="批注框文本 Char1"/>
    <w:link w:val="30"/>
    <w:qFormat/>
    <w:locked/>
    <w:uiPriority w:val="99"/>
    <w:rPr>
      <w:rFonts w:ascii="宋体" w:hAnsi="宋体" w:eastAsia="宋体"/>
      <w:sz w:val="18"/>
      <w:szCs w:val="18"/>
    </w:rPr>
  </w:style>
  <w:style w:type="character" w:customStyle="1" w:styleId="75">
    <w:name w:val="尾注文本 Char"/>
    <w:link w:val="29"/>
    <w:qFormat/>
    <w:locked/>
    <w:uiPriority w:val="0"/>
    <w:rPr>
      <w:rFonts w:ascii="宋体" w:hAnsi="宋体" w:eastAsia="宋体"/>
      <w:sz w:val="18"/>
      <w:szCs w:val="18"/>
    </w:rPr>
  </w:style>
  <w:style w:type="character" w:customStyle="1" w:styleId="76">
    <w:name w:val="日期 Char"/>
    <w:qFormat/>
    <w:uiPriority w:val="0"/>
    <w:rPr>
      <w:kern w:val="2"/>
      <w:sz w:val="21"/>
      <w:szCs w:val="24"/>
    </w:rPr>
  </w:style>
  <w:style w:type="character" w:customStyle="1" w:styleId="77">
    <w:name w:val="批注文字 字符"/>
    <w:qFormat/>
    <w:locked/>
    <w:uiPriority w:val="0"/>
    <w:rPr>
      <w:rFonts w:ascii="宋体" w:hAnsi="宋体" w:eastAsia="宋体"/>
      <w:kern w:val="2"/>
      <w:sz w:val="21"/>
      <w:szCs w:val="24"/>
      <w:lang w:val="en-US" w:eastAsia="zh-CN" w:bidi="ar-SA"/>
    </w:rPr>
  </w:style>
  <w:style w:type="character" w:customStyle="1" w:styleId="78">
    <w:name w:val="正文文本缩进 Char1"/>
    <w:link w:val="20"/>
    <w:qFormat/>
    <w:locked/>
    <w:uiPriority w:val="99"/>
    <w:rPr>
      <w:rFonts w:ascii="黑体" w:eastAsia="黑体"/>
      <w:sz w:val="44"/>
      <w:szCs w:val="44"/>
    </w:rPr>
  </w:style>
  <w:style w:type="character" w:customStyle="1" w:styleId="79">
    <w:name w:val="明显引用 Char1"/>
    <w:link w:val="80"/>
    <w:qFormat/>
    <w:uiPriority w:val="0"/>
    <w:rPr>
      <w:rFonts w:ascii="Calibri" w:hAnsi="Calibri" w:eastAsia="宋体" w:cs="Times New Roman"/>
      <w:b/>
      <w:bCs/>
      <w:i/>
      <w:iCs/>
      <w:color w:val="4F81BD"/>
    </w:rPr>
  </w:style>
  <w:style w:type="paragraph" w:customStyle="1" w:styleId="80">
    <w:name w:val="明显引用1"/>
    <w:basedOn w:val="1"/>
    <w:next w:val="1"/>
    <w:link w:val="79"/>
    <w:qFormat/>
    <w:uiPriority w:val="0"/>
    <w:pPr>
      <w:pBdr>
        <w:bottom w:val="single" w:color="4F81BD" w:sz="4" w:space="4"/>
      </w:pBdr>
      <w:spacing w:before="200" w:after="280"/>
      <w:ind w:left="936" w:right="936"/>
    </w:pPr>
    <w:rPr>
      <w:rFonts w:ascii="Calibri" w:hAnsi="Calibri"/>
      <w:b/>
      <w:bCs/>
      <w:i/>
      <w:iCs/>
      <w:color w:val="4F81BD"/>
      <w:szCs w:val="22"/>
    </w:rPr>
  </w:style>
  <w:style w:type="character" w:customStyle="1" w:styleId="81">
    <w:name w:val="引用 Char"/>
    <w:qFormat/>
    <w:uiPriority w:val="0"/>
    <w:rPr>
      <w:i/>
      <w:iCs/>
      <w:color w:val="000000"/>
    </w:rPr>
  </w:style>
  <w:style w:type="character" w:customStyle="1" w:styleId="82">
    <w:name w:val="明显引用 Char"/>
    <w:qFormat/>
    <w:uiPriority w:val="0"/>
    <w:rPr>
      <w:b/>
      <w:bCs/>
      <w:i/>
      <w:iCs/>
      <w:color w:val="4F81BD"/>
    </w:rPr>
  </w:style>
  <w:style w:type="character" w:customStyle="1" w:styleId="83">
    <w:name w:val="标题 Char1"/>
    <w:link w:val="46"/>
    <w:qFormat/>
    <w:locked/>
    <w:uiPriority w:val="10"/>
    <w:rPr>
      <w:szCs w:val="24"/>
      <w:u w:val="single"/>
      <w:lang w:eastAsia="en-US"/>
    </w:rPr>
  </w:style>
  <w:style w:type="character" w:customStyle="1" w:styleId="84">
    <w:name w:val="纯文本 Char2"/>
    <w:link w:val="25"/>
    <w:qFormat/>
    <w:locked/>
    <w:uiPriority w:val="99"/>
    <w:rPr>
      <w:rFonts w:ascii="宋体" w:hAnsi="Courier New" w:eastAsia="宋体"/>
      <w:sz w:val="28"/>
      <w:szCs w:val="28"/>
    </w:rPr>
  </w:style>
  <w:style w:type="character" w:customStyle="1" w:styleId="85">
    <w:name w:val="脚注文本 Char1"/>
    <w:link w:val="36"/>
    <w:qFormat/>
    <w:locked/>
    <w:uiPriority w:val="99"/>
    <w:rPr>
      <w:rFonts w:ascii="宋体" w:hAnsi="宋体" w:eastAsia="宋体"/>
      <w:sz w:val="18"/>
      <w:szCs w:val="18"/>
    </w:rPr>
  </w:style>
  <w:style w:type="character" w:customStyle="1" w:styleId="86">
    <w:name w:val="副标题 Char1"/>
    <w:link w:val="35"/>
    <w:qFormat/>
    <w:locked/>
    <w:uiPriority w:val="11"/>
    <w:rPr>
      <w:szCs w:val="24"/>
      <w:u w:val="single"/>
      <w:lang w:eastAsia="en-US"/>
    </w:rPr>
  </w:style>
  <w:style w:type="character" w:customStyle="1" w:styleId="87">
    <w:name w:val="正文文本 Char1"/>
    <w:link w:val="3"/>
    <w:qFormat/>
    <w:locked/>
    <w:uiPriority w:val="99"/>
    <w:rPr>
      <w:szCs w:val="24"/>
    </w:rPr>
  </w:style>
  <w:style w:type="character" w:customStyle="1" w:styleId="88">
    <w:name w:val="正文文本缩进 2 Char"/>
    <w:qFormat/>
    <w:uiPriority w:val="0"/>
    <w:rPr>
      <w:kern w:val="2"/>
      <w:sz w:val="21"/>
      <w:szCs w:val="24"/>
    </w:rPr>
  </w:style>
  <w:style w:type="character" w:customStyle="1" w:styleId="89">
    <w:name w:val="文档结构图 Char"/>
    <w:qFormat/>
    <w:uiPriority w:val="0"/>
    <w:rPr>
      <w:rFonts w:ascii="宋体"/>
      <w:kern w:val="2"/>
      <w:sz w:val="18"/>
      <w:szCs w:val="18"/>
    </w:rPr>
  </w:style>
  <w:style w:type="character" w:customStyle="1" w:styleId="90">
    <w:name w:val="样式2 Char Char"/>
    <w:link w:val="91"/>
    <w:qFormat/>
    <w:locked/>
    <w:uiPriority w:val="0"/>
    <w:rPr>
      <w:rFonts w:ascii="黑体" w:hAnsi="宋体" w:eastAsia="黑体"/>
      <w:b/>
      <w:sz w:val="28"/>
      <w:szCs w:val="28"/>
    </w:rPr>
  </w:style>
  <w:style w:type="paragraph" w:customStyle="1" w:styleId="91">
    <w:name w:val="样式2"/>
    <w:basedOn w:val="5"/>
    <w:link w:val="90"/>
    <w:qFormat/>
    <w:uiPriority w:val="0"/>
    <w:pPr>
      <w:numPr>
        <w:ilvl w:val="0"/>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92">
    <w:name w:val="正文文本 3 Char1"/>
    <w:link w:val="19"/>
    <w:qFormat/>
    <w:locked/>
    <w:uiPriority w:val="99"/>
    <w:rPr>
      <w:sz w:val="16"/>
      <w:szCs w:val="16"/>
    </w:rPr>
  </w:style>
  <w:style w:type="character" w:customStyle="1" w:styleId="93">
    <w:name w:val="标题5 Char Char"/>
    <w:link w:val="94"/>
    <w:qFormat/>
    <w:uiPriority w:val="0"/>
    <w:rPr>
      <w:rFonts w:ascii="Arial" w:hAnsi="Arial"/>
      <w:b/>
      <w:bCs/>
      <w:sz w:val="24"/>
      <w:szCs w:val="32"/>
    </w:rPr>
  </w:style>
  <w:style w:type="paragraph" w:customStyle="1" w:styleId="94">
    <w:name w:val="标题5"/>
    <w:basedOn w:val="6"/>
    <w:link w:val="93"/>
    <w:qFormat/>
    <w:uiPriority w:val="0"/>
    <w:pPr>
      <w:keepNext/>
      <w:keepLines/>
      <w:autoSpaceDE/>
      <w:autoSpaceDN/>
      <w:adjustRightInd/>
      <w:spacing w:before="260" w:after="260" w:line="413" w:lineRule="auto"/>
      <w:jc w:val="both"/>
    </w:pPr>
    <w:rPr>
      <w:rFonts w:ascii="Arial" w:hAnsi="Arial" w:eastAsiaTheme="minorEastAsia" w:cstheme="minorBidi"/>
      <w:bCs/>
      <w:szCs w:val="32"/>
    </w:rPr>
  </w:style>
  <w:style w:type="character" w:customStyle="1" w:styleId="95">
    <w:name w:val="页脚 Char1"/>
    <w:link w:val="31"/>
    <w:qFormat/>
    <w:uiPriority w:val="0"/>
    <w:rPr>
      <w:sz w:val="18"/>
      <w:szCs w:val="18"/>
    </w:rPr>
  </w:style>
  <w:style w:type="character" w:customStyle="1" w:styleId="96">
    <w:name w:val="样式1 Char Char"/>
    <w:link w:val="97"/>
    <w:locked/>
    <w:uiPriority w:val="0"/>
    <w:rPr>
      <w:rFonts w:ascii="宋体" w:hAnsi="宋体" w:eastAsia="宋体"/>
      <w:szCs w:val="21"/>
    </w:rPr>
  </w:style>
  <w:style w:type="paragraph" w:customStyle="1" w:styleId="97">
    <w:name w:val="样式1"/>
    <w:basedOn w:val="4"/>
    <w:link w:val="96"/>
    <w:qFormat/>
    <w:uiPriority w:val="0"/>
    <w:pPr>
      <w:keepNext w:val="0"/>
      <w:keepLines w:val="0"/>
      <w:numPr>
        <w:ilvl w:val="0"/>
        <w:numId w:val="2"/>
      </w:numPr>
      <w:autoSpaceDE w:val="0"/>
      <w:autoSpaceDN w:val="0"/>
      <w:adjustRightInd w:val="0"/>
      <w:snapToGrid w:val="0"/>
      <w:spacing w:before="0" w:after="0" w:line="360" w:lineRule="auto"/>
      <w:ind w:firstLine="420" w:firstLineChars="200"/>
      <w:jc w:val="center"/>
    </w:pPr>
    <w:rPr>
      <w:rFonts w:ascii="宋体" w:hAnsi="宋体" w:cstheme="minorBidi"/>
      <w:b w:val="0"/>
      <w:bCs w:val="0"/>
      <w:kern w:val="2"/>
      <w:sz w:val="21"/>
      <w:szCs w:val="21"/>
      <w:lang w:val="en-US"/>
    </w:rPr>
  </w:style>
  <w:style w:type="character" w:customStyle="1" w:styleId="98">
    <w:name w:val="批注主题 Char1"/>
    <w:link w:val="47"/>
    <w:qFormat/>
    <w:locked/>
    <w:uiPriority w:val="99"/>
    <w:rPr>
      <w:rFonts w:ascii="宋体" w:hAnsi="宋体" w:eastAsia="宋体"/>
      <w:b/>
      <w:bCs/>
      <w:szCs w:val="24"/>
    </w:rPr>
  </w:style>
  <w:style w:type="character" w:customStyle="1" w:styleId="99">
    <w:name w:val="页眉 Char1"/>
    <w:link w:val="32"/>
    <w:qFormat/>
    <w:uiPriority w:val="99"/>
    <w:rPr>
      <w:sz w:val="18"/>
      <w:szCs w:val="18"/>
    </w:rPr>
  </w:style>
  <w:style w:type="character" w:customStyle="1" w:styleId="100">
    <w:name w:val="正文文本缩进 2 Char1"/>
    <w:link w:val="28"/>
    <w:qFormat/>
    <w:uiPriority w:val="0"/>
    <w:rPr>
      <w:rFonts w:ascii="Calibri" w:hAnsi="Calibri" w:cs="Times New Roman"/>
      <w:sz w:val="28"/>
      <w:szCs w:val="24"/>
    </w:rPr>
  </w:style>
  <w:style w:type="character" w:customStyle="1" w:styleId="101">
    <w:name w:val="正文文本缩进 3 Char1"/>
    <w:link w:val="38"/>
    <w:qFormat/>
    <w:uiPriority w:val="0"/>
    <w:rPr>
      <w:rFonts w:ascii="宋体" w:hAnsi="宋体" w:cs="Times New Roman"/>
      <w:sz w:val="28"/>
      <w:szCs w:val="28"/>
    </w:rPr>
  </w:style>
  <w:style w:type="character" w:customStyle="1" w:styleId="102">
    <w:name w:val="标题4 Char Char"/>
    <w:link w:val="103"/>
    <w:qFormat/>
    <w:uiPriority w:val="0"/>
    <w:rPr>
      <w:rFonts w:ascii="Arial" w:hAnsi="Arial"/>
      <w:b/>
      <w:bCs/>
      <w:sz w:val="24"/>
      <w:szCs w:val="32"/>
    </w:rPr>
  </w:style>
  <w:style w:type="paragraph" w:customStyle="1" w:styleId="103">
    <w:name w:val="标题4"/>
    <w:basedOn w:val="5"/>
    <w:next w:val="22"/>
    <w:link w:val="102"/>
    <w:qFormat/>
    <w:uiPriority w:val="0"/>
    <w:pPr>
      <w:keepNext/>
      <w:keepLines/>
      <w:autoSpaceDE/>
      <w:autoSpaceDN/>
      <w:adjustRightInd/>
      <w:snapToGrid/>
      <w:spacing w:before="260" w:after="260" w:line="413" w:lineRule="auto"/>
      <w:jc w:val="both"/>
    </w:pPr>
    <w:rPr>
      <w:rFonts w:ascii="Arial" w:hAnsi="Arial" w:eastAsiaTheme="minorEastAsia" w:cstheme="minorBidi"/>
      <w:bCs/>
      <w:spacing w:val="0"/>
      <w:w w:val="100"/>
      <w:sz w:val="24"/>
    </w:rPr>
  </w:style>
  <w:style w:type="character" w:customStyle="1" w:styleId="104">
    <w:name w:val="日期 Char1"/>
    <w:link w:val="27"/>
    <w:qFormat/>
    <w:uiPriority w:val="0"/>
    <w:rPr>
      <w:rFonts w:ascii="Calibri" w:hAnsi="Calibri" w:cs="Times New Roman"/>
      <w:szCs w:val="24"/>
    </w:rPr>
  </w:style>
  <w:style w:type="character" w:customStyle="1" w:styleId="105">
    <w:name w:val="正文文本缩进 3 Char"/>
    <w:qFormat/>
    <w:uiPriority w:val="0"/>
    <w:rPr>
      <w:kern w:val="2"/>
      <w:sz w:val="16"/>
      <w:szCs w:val="16"/>
    </w:rPr>
  </w:style>
  <w:style w:type="character" w:customStyle="1" w:styleId="106">
    <w:name w:val="页脚 字符1"/>
    <w:basedOn w:val="51"/>
    <w:semiHidden/>
    <w:uiPriority w:val="99"/>
    <w:rPr>
      <w:rFonts w:ascii="Times New Roman" w:hAnsi="Times New Roman" w:eastAsia="宋体" w:cs="Times New Roman"/>
      <w:sz w:val="18"/>
      <w:szCs w:val="18"/>
    </w:rPr>
  </w:style>
  <w:style w:type="paragraph" w:customStyle="1" w:styleId="107">
    <w:name w:val="修订1"/>
    <w:uiPriority w:val="99"/>
    <w:rPr>
      <w:rFonts w:ascii="Times New Roman" w:hAnsi="Times New Roman" w:eastAsia="宋体" w:cs="Times New Roman"/>
      <w:kern w:val="2"/>
      <w:sz w:val="21"/>
      <w:szCs w:val="24"/>
      <w:lang w:val="en-US" w:eastAsia="zh-CN" w:bidi="ar-SA"/>
    </w:rPr>
  </w:style>
  <w:style w:type="character" w:customStyle="1" w:styleId="108">
    <w:name w:val="正文文本缩进 2 字符1"/>
    <w:basedOn w:val="51"/>
    <w:semiHidden/>
    <w:uiPriority w:val="99"/>
    <w:rPr>
      <w:rFonts w:ascii="Times New Roman" w:hAnsi="Times New Roman" w:eastAsia="宋体" w:cs="Times New Roman"/>
      <w:szCs w:val="24"/>
    </w:rPr>
  </w:style>
  <w:style w:type="character" w:customStyle="1" w:styleId="109">
    <w:name w:val="正文文本缩进 字符1"/>
    <w:basedOn w:val="51"/>
    <w:semiHidden/>
    <w:uiPriority w:val="99"/>
    <w:rPr>
      <w:rFonts w:ascii="Times New Roman" w:hAnsi="Times New Roman" w:eastAsia="宋体" w:cs="Times New Roman"/>
      <w:szCs w:val="24"/>
    </w:rPr>
  </w:style>
  <w:style w:type="character" w:customStyle="1" w:styleId="110">
    <w:name w:val="脚注文本 字符1"/>
    <w:basedOn w:val="51"/>
    <w:semiHidden/>
    <w:qFormat/>
    <w:uiPriority w:val="99"/>
    <w:rPr>
      <w:rFonts w:ascii="Times New Roman" w:hAnsi="Times New Roman" w:eastAsia="宋体" w:cs="Times New Roman"/>
      <w:sz w:val="18"/>
      <w:szCs w:val="18"/>
    </w:rPr>
  </w:style>
  <w:style w:type="character" w:customStyle="1" w:styleId="111">
    <w:name w:val="正文文本 3 字符1"/>
    <w:basedOn w:val="51"/>
    <w:semiHidden/>
    <w:qFormat/>
    <w:uiPriority w:val="99"/>
    <w:rPr>
      <w:rFonts w:ascii="Times New Roman" w:hAnsi="Times New Roman" w:eastAsia="宋体" w:cs="Times New Roman"/>
      <w:sz w:val="16"/>
      <w:szCs w:val="16"/>
    </w:rPr>
  </w:style>
  <w:style w:type="character" w:customStyle="1" w:styleId="112">
    <w:name w:val="批注文字 Char1"/>
    <w:basedOn w:val="51"/>
    <w:link w:val="18"/>
    <w:semiHidden/>
    <w:qFormat/>
    <w:uiPriority w:val="99"/>
    <w:rPr>
      <w:rFonts w:ascii="Times New Roman" w:hAnsi="Times New Roman" w:eastAsia="宋体" w:cs="Times New Roman"/>
      <w:szCs w:val="24"/>
    </w:rPr>
  </w:style>
  <w:style w:type="character" w:customStyle="1" w:styleId="113">
    <w:name w:val="批注主题 字符1"/>
    <w:basedOn w:val="112"/>
    <w:semiHidden/>
    <w:uiPriority w:val="99"/>
    <w:rPr>
      <w:rFonts w:ascii="Times New Roman" w:hAnsi="Times New Roman" w:eastAsia="宋体" w:cs="Times New Roman"/>
      <w:b/>
      <w:bCs/>
      <w:szCs w:val="24"/>
    </w:rPr>
  </w:style>
  <w:style w:type="character" w:customStyle="1" w:styleId="114">
    <w:name w:val="日期 字符1"/>
    <w:basedOn w:val="51"/>
    <w:semiHidden/>
    <w:qFormat/>
    <w:uiPriority w:val="99"/>
    <w:rPr>
      <w:rFonts w:ascii="Times New Roman" w:hAnsi="Times New Roman" w:eastAsia="宋体" w:cs="Times New Roman"/>
      <w:szCs w:val="24"/>
    </w:rPr>
  </w:style>
  <w:style w:type="character" w:customStyle="1" w:styleId="115">
    <w:name w:val="批注框文本 字符1"/>
    <w:basedOn w:val="51"/>
    <w:semiHidden/>
    <w:uiPriority w:val="99"/>
    <w:rPr>
      <w:rFonts w:ascii="Times New Roman" w:hAnsi="Times New Roman" w:eastAsia="宋体" w:cs="Times New Roman"/>
      <w:sz w:val="18"/>
      <w:szCs w:val="18"/>
    </w:rPr>
  </w:style>
  <w:style w:type="character" w:customStyle="1" w:styleId="116">
    <w:name w:val="正文文本缩进 3 字符1"/>
    <w:basedOn w:val="51"/>
    <w:semiHidden/>
    <w:uiPriority w:val="99"/>
    <w:rPr>
      <w:rFonts w:ascii="Times New Roman" w:hAnsi="Times New Roman" w:eastAsia="宋体" w:cs="Times New Roman"/>
      <w:sz w:val="16"/>
      <w:szCs w:val="16"/>
    </w:rPr>
  </w:style>
  <w:style w:type="character" w:customStyle="1" w:styleId="117">
    <w:name w:val="文档结构图 字符1"/>
    <w:basedOn w:val="51"/>
    <w:semiHidden/>
    <w:uiPriority w:val="99"/>
    <w:rPr>
      <w:rFonts w:ascii="Microsoft YaHei UI" w:hAnsi="Times New Roman" w:eastAsia="Microsoft YaHei UI" w:cs="Times New Roman"/>
      <w:sz w:val="18"/>
      <w:szCs w:val="18"/>
    </w:rPr>
  </w:style>
  <w:style w:type="character" w:customStyle="1" w:styleId="118">
    <w:name w:val="页眉 字符1"/>
    <w:basedOn w:val="51"/>
    <w:semiHidden/>
    <w:qFormat/>
    <w:uiPriority w:val="99"/>
    <w:rPr>
      <w:rFonts w:ascii="Times New Roman" w:hAnsi="Times New Roman" w:eastAsia="宋体" w:cs="Times New Roman"/>
      <w:sz w:val="18"/>
      <w:szCs w:val="18"/>
    </w:rPr>
  </w:style>
  <w:style w:type="character" w:customStyle="1" w:styleId="119">
    <w:name w:val="正文文本 字符1"/>
    <w:basedOn w:val="51"/>
    <w:semiHidden/>
    <w:qFormat/>
    <w:uiPriority w:val="99"/>
    <w:rPr>
      <w:rFonts w:ascii="Times New Roman" w:hAnsi="Times New Roman" w:eastAsia="宋体" w:cs="Times New Roman"/>
      <w:szCs w:val="24"/>
    </w:rPr>
  </w:style>
  <w:style w:type="character" w:customStyle="1" w:styleId="120">
    <w:name w:val="纯文本 字符1"/>
    <w:basedOn w:val="51"/>
    <w:semiHidden/>
    <w:uiPriority w:val="99"/>
    <w:rPr>
      <w:rFonts w:hAnsi="Courier New" w:cs="Courier New" w:asciiTheme="minorEastAsia"/>
      <w:szCs w:val="24"/>
    </w:rPr>
  </w:style>
  <w:style w:type="paragraph" w:styleId="121">
    <w:name w:val="List Paragraph"/>
    <w:basedOn w:val="1"/>
    <w:qFormat/>
    <w:uiPriority w:val="0"/>
    <w:pPr>
      <w:ind w:firstLine="420" w:firstLineChars="200"/>
    </w:pPr>
  </w:style>
  <w:style w:type="character" w:customStyle="1" w:styleId="122">
    <w:name w:val="标题 字符1"/>
    <w:basedOn w:val="51"/>
    <w:uiPriority w:val="10"/>
    <w:rPr>
      <w:rFonts w:asciiTheme="majorHAnsi" w:hAnsiTheme="majorHAnsi" w:eastAsiaTheme="majorEastAsia" w:cstheme="majorBidi"/>
      <w:b/>
      <w:bCs/>
      <w:sz w:val="32"/>
      <w:szCs w:val="32"/>
    </w:rPr>
  </w:style>
  <w:style w:type="character" w:customStyle="1" w:styleId="123">
    <w:name w:val="HTML 预设格式 字符1"/>
    <w:basedOn w:val="51"/>
    <w:semiHidden/>
    <w:uiPriority w:val="99"/>
    <w:rPr>
      <w:rFonts w:ascii="Courier New" w:hAnsi="Courier New" w:eastAsia="宋体" w:cs="Courier New"/>
      <w:sz w:val="20"/>
      <w:szCs w:val="20"/>
    </w:rPr>
  </w:style>
  <w:style w:type="character" w:customStyle="1" w:styleId="124">
    <w:name w:val="正文文本 2 字符1"/>
    <w:basedOn w:val="51"/>
    <w:semiHidden/>
    <w:uiPriority w:val="99"/>
    <w:rPr>
      <w:rFonts w:ascii="Times New Roman" w:hAnsi="Times New Roman" w:eastAsia="宋体" w:cs="Times New Roman"/>
      <w:szCs w:val="24"/>
    </w:rPr>
  </w:style>
  <w:style w:type="character" w:customStyle="1" w:styleId="125">
    <w:name w:val="副标题 字符1"/>
    <w:basedOn w:val="51"/>
    <w:uiPriority w:val="11"/>
    <w:rPr>
      <w:b/>
      <w:bCs/>
      <w:kern w:val="28"/>
      <w:sz w:val="32"/>
      <w:szCs w:val="32"/>
    </w:rPr>
  </w:style>
  <w:style w:type="character" w:customStyle="1" w:styleId="126">
    <w:name w:val="尾注文本 字符1"/>
    <w:basedOn w:val="51"/>
    <w:semiHidden/>
    <w:uiPriority w:val="99"/>
    <w:rPr>
      <w:rFonts w:ascii="Times New Roman" w:hAnsi="Times New Roman" w:eastAsia="宋体" w:cs="Times New Roman"/>
      <w:szCs w:val="24"/>
    </w:rPr>
  </w:style>
  <w:style w:type="paragraph" w:customStyle="1" w:styleId="127">
    <w:name w:val="_Style 32"/>
    <w:basedOn w:val="1"/>
    <w:uiPriority w:val="0"/>
    <w:pPr>
      <w:snapToGrid w:val="0"/>
      <w:spacing w:line="360" w:lineRule="auto"/>
      <w:ind w:firstLine="200" w:firstLineChars="200"/>
    </w:pPr>
    <w:rPr>
      <w:rFonts w:eastAsia="仿宋_GB2312"/>
      <w:sz w:val="24"/>
    </w:rPr>
  </w:style>
  <w:style w:type="paragraph" w:customStyle="1" w:styleId="128">
    <w:name w:val="正文 New"/>
    <w:uiPriority w:val="0"/>
    <w:pPr>
      <w:widowControl w:val="0"/>
      <w:jc w:val="both"/>
    </w:pPr>
    <w:rPr>
      <w:rFonts w:ascii="Calibri" w:hAnsi="Calibri" w:eastAsia="宋体" w:cs="Times New Roman"/>
      <w:kern w:val="2"/>
      <w:sz w:val="21"/>
      <w:szCs w:val="22"/>
      <w:lang w:val="en-US" w:eastAsia="zh-CN" w:bidi="ar-SA"/>
    </w:rPr>
  </w:style>
  <w:style w:type="paragraph" w:customStyle="1" w:styleId="129">
    <w:name w:val="p0"/>
    <w:basedOn w:val="1"/>
    <w:qFormat/>
    <w:uiPriority w:val="0"/>
    <w:pPr>
      <w:widowControl/>
    </w:pPr>
    <w:rPr>
      <w:kern w:val="0"/>
      <w:szCs w:val="21"/>
    </w:rPr>
  </w:style>
  <w:style w:type="paragraph" w:customStyle="1" w:styleId="130">
    <w:name w:val="p17"/>
    <w:basedOn w:val="1"/>
    <w:qFormat/>
    <w:uiPriority w:val="0"/>
    <w:pPr>
      <w:widowControl/>
    </w:pPr>
    <w:rPr>
      <w:rFonts w:ascii="宋体" w:hAnsi="宋体" w:cs="宋体"/>
      <w:kern w:val="0"/>
      <w:sz w:val="28"/>
      <w:szCs w:val="28"/>
    </w:rPr>
  </w:style>
  <w:style w:type="character" w:customStyle="1" w:styleId="131">
    <w:name w:val="正文首行缩进 Char1"/>
    <w:basedOn w:val="87"/>
    <w:link w:val="2"/>
    <w:semiHidden/>
    <w:uiPriority w:val="99"/>
    <w:rPr>
      <w:rFonts w:ascii="Times New Roman" w:hAnsi="Times New Roman" w:eastAsia="宋体" w:cs="Times New Roman"/>
      <w:szCs w:val="24"/>
    </w:rPr>
  </w:style>
  <w:style w:type="character" w:customStyle="1" w:styleId="132">
    <w:name w:val="批注文字 Char"/>
    <w:qFormat/>
    <w:uiPriority w:val="99"/>
    <w:rPr>
      <w:rFonts w:ascii="仿宋_GB2312" w:eastAsia="仿宋_GB2312"/>
      <w:sz w:val="24"/>
      <w:szCs w:val="32"/>
    </w:rPr>
  </w:style>
  <w:style w:type="character" w:customStyle="1" w:styleId="133">
    <w:name w:val="text2"/>
    <w:basedOn w:val="51"/>
    <w:qFormat/>
    <w:uiPriority w:val="0"/>
  </w:style>
  <w:style w:type="character" w:customStyle="1" w:styleId="134">
    <w:name w:val="正文文字 Char"/>
    <w:qFormat/>
    <w:uiPriority w:val="0"/>
    <w:rPr>
      <w:rFonts w:ascii="宋体" w:eastAsia="宋体"/>
      <w:kern w:val="2"/>
      <w:sz w:val="28"/>
      <w:lang w:val="en-US" w:eastAsia="zh-CN" w:bidi="ar-SA"/>
    </w:rPr>
  </w:style>
  <w:style w:type="character" w:customStyle="1" w:styleId="135">
    <w:name w:val="font01"/>
    <w:qFormat/>
    <w:uiPriority w:val="0"/>
    <w:rPr>
      <w:rFonts w:hint="default" w:ascii="Times New Roman" w:hAnsi="Times New Roman" w:cs="Times New Roman"/>
      <w:color w:val="000000"/>
      <w:sz w:val="24"/>
      <w:szCs w:val="24"/>
      <w:u w:val="none"/>
    </w:rPr>
  </w:style>
  <w:style w:type="character" w:customStyle="1" w:styleId="136">
    <w:name w:val="Table Text Char Char"/>
    <w:link w:val="137"/>
    <w:qFormat/>
    <w:uiPriority w:val="0"/>
    <w:rPr>
      <w:rFonts w:ascii="Arial" w:hAnsi="Arial"/>
      <w:sz w:val="18"/>
      <w:szCs w:val="18"/>
    </w:rPr>
  </w:style>
  <w:style w:type="paragraph" w:customStyle="1" w:styleId="137">
    <w:name w:val="Table Text"/>
    <w:link w:val="136"/>
    <w:qFormat/>
    <w:uiPriority w:val="0"/>
    <w:pPr>
      <w:snapToGrid w:val="0"/>
      <w:spacing w:before="80" w:after="80"/>
    </w:pPr>
    <w:rPr>
      <w:rFonts w:ascii="Arial" w:hAnsi="Arial" w:eastAsiaTheme="minorEastAsia" w:cstheme="minorBidi"/>
      <w:kern w:val="2"/>
      <w:sz w:val="18"/>
      <w:szCs w:val="18"/>
      <w:lang w:val="en-US" w:eastAsia="zh-CN" w:bidi="ar-SA"/>
    </w:rPr>
  </w:style>
  <w:style w:type="character" w:customStyle="1" w:styleId="138">
    <w:name w:val="注释标题 Char"/>
    <w:link w:val="14"/>
    <w:qFormat/>
    <w:uiPriority w:val="0"/>
    <w:rPr>
      <w:rFonts w:ascii="宋体" w:hAnsi="宋体" w:eastAsia="仿宋_GB2312"/>
      <w:kern w:val="15"/>
      <w:sz w:val="15"/>
      <w:szCs w:val="32"/>
      <w:lang w:val="sv-SE"/>
    </w:rPr>
  </w:style>
  <w:style w:type="character" w:customStyle="1" w:styleId="139">
    <w:name w:val="纯文本 Char1"/>
    <w:qFormat/>
    <w:uiPriority w:val="0"/>
    <w:rPr>
      <w:rFonts w:ascii="宋体" w:hAnsi="Courier New"/>
      <w:kern w:val="2"/>
      <w:sz w:val="21"/>
      <w:szCs w:val="21"/>
    </w:rPr>
  </w:style>
  <w:style w:type="character" w:customStyle="1" w:styleId="140">
    <w:name w:val="副标题 Char"/>
    <w:qFormat/>
    <w:uiPriority w:val="0"/>
    <w:rPr>
      <w:szCs w:val="24"/>
      <w:u w:val="single"/>
      <w:lang w:eastAsia="en-US"/>
    </w:rPr>
  </w:style>
  <w:style w:type="character" w:customStyle="1" w:styleId="141">
    <w:name w:val="标题 7 Char"/>
    <w:qFormat/>
    <w:uiPriority w:val="0"/>
    <w:rPr>
      <w:rFonts w:ascii="Times New Roman" w:hAnsi="Times New Roman" w:eastAsia="宋体" w:cs="Times New Roman"/>
      <w:b/>
      <w:bCs/>
      <w:kern w:val="0"/>
      <w:sz w:val="24"/>
      <w:szCs w:val="24"/>
      <w:lang w:val="zh-CN" w:eastAsia="zh-CN"/>
    </w:rPr>
  </w:style>
  <w:style w:type="character" w:customStyle="1" w:styleId="142">
    <w:name w:val="标题 2 Char Char Char"/>
    <w:qFormat/>
    <w:uiPriority w:val="0"/>
    <w:rPr>
      <w:rFonts w:ascii="Arial" w:hAnsi="Arial" w:eastAsia="黑体"/>
      <w:b/>
      <w:bCs/>
      <w:kern w:val="2"/>
      <w:sz w:val="32"/>
      <w:szCs w:val="32"/>
      <w:lang w:val="en-US" w:eastAsia="zh-CN" w:bidi="ar-SA"/>
    </w:rPr>
  </w:style>
  <w:style w:type="character" w:customStyle="1" w:styleId="143">
    <w:name w:val="脚注文本 Char"/>
    <w:qFormat/>
    <w:uiPriority w:val="0"/>
    <w:rPr>
      <w:rFonts w:ascii="仿宋_GB2312" w:eastAsia="仿宋_GB2312"/>
      <w:sz w:val="18"/>
      <w:szCs w:val="18"/>
    </w:rPr>
  </w:style>
  <w:style w:type="character" w:customStyle="1" w:styleId="144">
    <w:name w:val="信息标题 Char"/>
    <w:link w:val="42"/>
    <w:qFormat/>
    <w:uiPriority w:val="0"/>
    <w:rPr>
      <w:rFonts w:ascii="宋体" w:hAnsi="宋体" w:eastAsia="仿宋_GB2312"/>
      <w:kern w:val="15"/>
      <w:sz w:val="15"/>
      <w:szCs w:val="32"/>
      <w:shd w:val="pct20" w:color="auto" w:fill="auto"/>
      <w:lang w:val="sv-SE"/>
    </w:rPr>
  </w:style>
  <w:style w:type="character" w:customStyle="1" w:styleId="145">
    <w:name w:val="页脚 Char"/>
    <w:qFormat/>
    <w:uiPriority w:val="99"/>
    <w:rPr>
      <w:rFonts w:ascii="仿宋_GB2312" w:eastAsia="仿宋_GB2312"/>
      <w:sz w:val="18"/>
      <w:szCs w:val="18"/>
    </w:rPr>
  </w:style>
  <w:style w:type="character" w:customStyle="1" w:styleId="146">
    <w:name w:val="标题 6 Char"/>
    <w:qFormat/>
    <w:uiPriority w:val="0"/>
    <w:rPr>
      <w:rFonts w:ascii="Arial" w:hAnsi="Arial" w:eastAsia="黑体" w:cs="Times New Roman"/>
      <w:b/>
      <w:bCs/>
      <w:kern w:val="0"/>
      <w:sz w:val="24"/>
      <w:szCs w:val="24"/>
      <w:lang w:val="zh-CN" w:eastAsia="zh-CN"/>
    </w:rPr>
  </w:style>
  <w:style w:type="character" w:customStyle="1" w:styleId="147">
    <w:name w:val="标题 4 Char"/>
    <w:qFormat/>
    <w:uiPriority w:val="0"/>
    <w:rPr>
      <w:rFonts w:ascii="仿宋_GB2312" w:hAnsi="Times New Roman" w:eastAsia="仿宋_GB2312" w:cs="宋体"/>
      <w:b/>
      <w:kern w:val="0"/>
      <w:sz w:val="24"/>
      <w:szCs w:val="28"/>
      <w:lang w:val="zh-CN" w:eastAsia="zh-CN"/>
    </w:rPr>
  </w:style>
  <w:style w:type="character" w:customStyle="1" w:styleId="148">
    <w:name w:val="标题 1 Char Char"/>
    <w:qFormat/>
    <w:uiPriority w:val="0"/>
    <w:rPr>
      <w:rFonts w:eastAsia="宋体"/>
      <w:b/>
      <w:spacing w:val="-2"/>
      <w:sz w:val="24"/>
      <w:lang w:val="en-US" w:eastAsia="zh-CN" w:bidi="ar-SA"/>
    </w:rPr>
  </w:style>
  <w:style w:type="character" w:customStyle="1" w:styleId="149">
    <w:name w:val="wf1"/>
    <w:qFormat/>
    <w:uiPriority w:val="0"/>
    <w:rPr>
      <w:rFonts w:ascii="ˎ̥" w:hAnsi="ˎ̥"/>
      <w:sz w:val="19"/>
      <w:szCs w:val="19"/>
    </w:rPr>
  </w:style>
  <w:style w:type="character" w:customStyle="1" w:styleId="150">
    <w:name w:val="apple-style-span"/>
    <w:basedOn w:val="51"/>
    <w:qFormat/>
    <w:uiPriority w:val="0"/>
  </w:style>
  <w:style w:type="character" w:customStyle="1" w:styleId="151">
    <w:name w:val="3rq1"/>
    <w:qFormat/>
    <w:uiPriority w:val="0"/>
    <w:rPr>
      <w:color w:val="000000"/>
      <w:sz w:val="18"/>
      <w:szCs w:val="18"/>
    </w:rPr>
  </w:style>
  <w:style w:type="character" w:customStyle="1" w:styleId="152">
    <w:name w:val="postbody1"/>
    <w:qFormat/>
    <w:uiPriority w:val="0"/>
    <w:rPr>
      <w:sz w:val="16"/>
      <w:szCs w:val="16"/>
    </w:rPr>
  </w:style>
  <w:style w:type="character" w:customStyle="1" w:styleId="153">
    <w:name w:val="标题-4 Char Char Char"/>
    <w:link w:val="154"/>
    <w:qFormat/>
    <w:uiPriority w:val="0"/>
    <w:rPr>
      <w:rFonts w:ascii="宋体" w:hAnsi="宋体" w:eastAsia="宋体"/>
      <w:b/>
      <w:color w:val="000000"/>
      <w:szCs w:val="21"/>
    </w:rPr>
  </w:style>
  <w:style w:type="paragraph" w:customStyle="1" w:styleId="154">
    <w:name w:val="标题-4 Char"/>
    <w:basedOn w:val="1"/>
    <w:next w:val="1"/>
    <w:link w:val="153"/>
    <w:qFormat/>
    <w:uiPriority w:val="0"/>
    <w:pPr>
      <w:tabs>
        <w:tab w:val="left" w:pos="1931"/>
      </w:tabs>
      <w:autoSpaceDE w:val="0"/>
      <w:autoSpaceDN w:val="0"/>
      <w:adjustRightInd w:val="0"/>
      <w:snapToGrid w:val="0"/>
      <w:spacing w:line="360" w:lineRule="auto"/>
      <w:ind w:left="100" w:leftChars="100" w:right="100" w:rightChars="100" w:hanging="851"/>
      <w:jc w:val="left"/>
      <w:outlineLvl w:val="3"/>
    </w:pPr>
    <w:rPr>
      <w:rFonts w:ascii="宋体" w:hAnsi="宋体" w:cstheme="minorBidi"/>
      <w:b/>
      <w:color w:val="000000"/>
      <w:szCs w:val="21"/>
    </w:rPr>
  </w:style>
  <w:style w:type="character" w:customStyle="1" w:styleId="155">
    <w:name w:val="标题-5 Char Char Char"/>
    <w:link w:val="156"/>
    <w:qFormat/>
    <w:uiPriority w:val="0"/>
    <w:rPr>
      <w:b/>
      <w:szCs w:val="24"/>
    </w:rPr>
  </w:style>
  <w:style w:type="paragraph" w:customStyle="1" w:styleId="156">
    <w:name w:val="标题-5 Char"/>
    <w:basedOn w:val="1"/>
    <w:next w:val="1"/>
    <w:link w:val="155"/>
    <w:qFormat/>
    <w:uiPriority w:val="0"/>
    <w:pPr>
      <w:tabs>
        <w:tab w:val="left" w:pos="992"/>
      </w:tabs>
      <w:spacing w:line="360" w:lineRule="auto"/>
      <w:ind w:left="992" w:hanging="992"/>
    </w:pPr>
    <w:rPr>
      <w:rFonts w:asciiTheme="minorHAnsi" w:hAnsiTheme="minorHAnsi" w:eastAsiaTheme="minorEastAsia" w:cstheme="minorBidi"/>
      <w:b/>
    </w:rPr>
  </w:style>
  <w:style w:type="character" w:customStyle="1" w:styleId="157">
    <w:name w:val="Table Heading Char Char"/>
    <w:link w:val="158"/>
    <w:qFormat/>
    <w:uiPriority w:val="0"/>
    <w:rPr>
      <w:rFonts w:ascii="Arial" w:hAnsi="Arial" w:eastAsia="黑体"/>
      <w:sz w:val="18"/>
      <w:szCs w:val="18"/>
    </w:rPr>
  </w:style>
  <w:style w:type="paragraph" w:customStyle="1" w:styleId="158">
    <w:name w:val="Table Heading"/>
    <w:link w:val="157"/>
    <w:qFormat/>
    <w:uiPriority w:val="0"/>
    <w:pPr>
      <w:keepNext/>
      <w:snapToGrid w:val="0"/>
      <w:spacing w:before="80" w:after="80"/>
      <w:jc w:val="center"/>
    </w:pPr>
    <w:rPr>
      <w:rFonts w:ascii="Arial" w:hAnsi="Arial" w:eastAsia="黑体" w:cstheme="minorBidi"/>
      <w:kern w:val="2"/>
      <w:sz w:val="18"/>
      <w:szCs w:val="18"/>
      <w:lang w:val="en-US" w:eastAsia="zh-CN" w:bidi="ar-SA"/>
    </w:rPr>
  </w:style>
  <w:style w:type="character" w:customStyle="1" w:styleId="159">
    <w:name w:val="highlight1"/>
    <w:qFormat/>
    <w:uiPriority w:val="0"/>
    <w:rPr>
      <w:sz w:val="26"/>
      <w:szCs w:val="26"/>
    </w:rPr>
  </w:style>
  <w:style w:type="character" w:customStyle="1" w:styleId="160">
    <w:name w:val="批注主题 Char"/>
    <w:qFormat/>
    <w:uiPriority w:val="0"/>
    <w:rPr>
      <w:rFonts w:ascii="仿宋_GB2312" w:eastAsia="仿宋_GB2312"/>
      <w:b/>
      <w:bCs/>
      <w:szCs w:val="24"/>
    </w:rPr>
  </w:style>
  <w:style w:type="character" w:customStyle="1" w:styleId="161">
    <w:name w:val="f141"/>
    <w:qFormat/>
    <w:uiPriority w:val="0"/>
    <w:rPr>
      <w:sz w:val="22"/>
      <w:szCs w:val="22"/>
    </w:rPr>
  </w:style>
  <w:style w:type="character" w:customStyle="1" w:styleId="162">
    <w:name w:val="正文文本 Char"/>
    <w:qFormat/>
    <w:uiPriority w:val="0"/>
    <w:rPr>
      <w:rFonts w:ascii="仿宋_GB2312" w:eastAsia="仿宋_GB2312"/>
      <w:sz w:val="26"/>
      <w:szCs w:val="24"/>
    </w:rPr>
  </w:style>
  <w:style w:type="character" w:customStyle="1" w:styleId="163">
    <w:name w:val="页眉 Char"/>
    <w:qFormat/>
    <w:uiPriority w:val="0"/>
    <w:rPr>
      <w:rFonts w:ascii="仿宋_GB2312" w:eastAsia="仿宋_GB2312"/>
      <w:sz w:val="18"/>
      <w:szCs w:val="18"/>
    </w:rPr>
  </w:style>
  <w:style w:type="character" w:customStyle="1" w:styleId="164">
    <w:name w:val="bluewords1"/>
    <w:qFormat/>
    <w:uiPriority w:val="0"/>
    <w:rPr>
      <w:color w:val="3366CC"/>
      <w:sz w:val="18"/>
      <w:szCs w:val="18"/>
    </w:rPr>
  </w:style>
  <w:style w:type="character" w:customStyle="1" w:styleId="165">
    <w:name w:val="f31"/>
    <w:qFormat/>
    <w:uiPriority w:val="0"/>
    <w:rPr>
      <w:rFonts w:ascii="ˎ̥" w:hAnsi="ˎ̥"/>
      <w:color w:val="000000"/>
      <w:spacing w:val="24"/>
      <w:sz w:val="18"/>
      <w:szCs w:val="18"/>
      <w:u w:val="none"/>
    </w:rPr>
  </w:style>
  <w:style w:type="character" w:customStyle="1" w:styleId="166">
    <w:name w:val="dl1"/>
    <w:basedOn w:val="51"/>
    <w:qFormat/>
    <w:uiPriority w:val="0"/>
  </w:style>
  <w:style w:type="character" w:customStyle="1" w:styleId="167">
    <w:name w:val="正文首行缩进 Char"/>
    <w:qFormat/>
    <w:uiPriority w:val="0"/>
    <w:rPr>
      <w:rFonts w:ascii="Arial" w:hAnsi="Arial" w:eastAsia="仿宋_GB2312" w:cs="Arial"/>
      <w:sz w:val="24"/>
      <w:szCs w:val="24"/>
    </w:rPr>
  </w:style>
  <w:style w:type="character" w:customStyle="1" w:styleId="168">
    <w:name w:val="正文首行缩进 2 Char"/>
    <w:link w:val="48"/>
    <w:qFormat/>
    <w:uiPriority w:val="0"/>
    <w:rPr>
      <w:rFonts w:ascii="黑体" w:hAnsi="宋体" w:eastAsia="黑体"/>
      <w:color w:val="000000"/>
      <w:szCs w:val="24"/>
    </w:rPr>
  </w:style>
  <w:style w:type="character" w:customStyle="1" w:styleId="169">
    <w:name w:val="标题 8 Char"/>
    <w:qFormat/>
    <w:uiPriority w:val="0"/>
    <w:rPr>
      <w:rFonts w:ascii="Arial" w:hAnsi="Arial" w:eastAsia="黑体" w:cs="Times New Roman"/>
      <w:kern w:val="0"/>
      <w:sz w:val="24"/>
      <w:szCs w:val="24"/>
      <w:lang w:val="zh-CN" w:eastAsia="zh-CN"/>
    </w:rPr>
  </w:style>
  <w:style w:type="character" w:customStyle="1" w:styleId="170">
    <w:name w:val="标题 2 Char"/>
    <w:qFormat/>
    <w:uiPriority w:val="0"/>
    <w:rPr>
      <w:rFonts w:ascii="仿宋_GB2312" w:hAnsi="Times New Roman" w:eastAsia="仿宋_GB2312" w:cs="宋体"/>
      <w:b/>
      <w:spacing w:val="1"/>
      <w:w w:val="99"/>
      <w:kern w:val="0"/>
      <w:sz w:val="28"/>
      <w:szCs w:val="32"/>
      <w:lang w:val="zh-CN" w:eastAsia="zh-CN"/>
    </w:rPr>
  </w:style>
  <w:style w:type="character" w:customStyle="1" w:styleId="171">
    <w:name w:val="tpc_content1"/>
    <w:qFormat/>
    <w:uiPriority w:val="0"/>
    <w:rPr>
      <w:sz w:val="20"/>
      <w:szCs w:val="20"/>
    </w:rPr>
  </w:style>
  <w:style w:type="character" w:customStyle="1" w:styleId="172">
    <w:name w:val="标题 1 Char"/>
    <w:qFormat/>
    <w:uiPriority w:val="0"/>
    <w:rPr>
      <w:rFonts w:ascii="Times New Roman" w:hAnsi="Times New Roman" w:eastAsia="黑体" w:cs="Times New Roman"/>
      <w:sz w:val="44"/>
      <w:szCs w:val="44"/>
      <w:lang w:val="zh-CN" w:eastAsia="zh-CN"/>
    </w:rPr>
  </w:style>
  <w:style w:type="character" w:customStyle="1" w:styleId="173">
    <w:name w:val="标题 Char"/>
    <w:qFormat/>
    <w:uiPriority w:val="0"/>
    <w:rPr>
      <w:rFonts w:ascii="华文细黑" w:hAnsi="华文细黑" w:eastAsia="仿宋_GB2312"/>
      <w:b/>
      <w:bCs/>
      <w:sz w:val="52"/>
      <w:szCs w:val="32"/>
    </w:rPr>
  </w:style>
  <w:style w:type="character" w:customStyle="1" w:styleId="174">
    <w:name w:val="3zw1"/>
    <w:qFormat/>
    <w:uiPriority w:val="0"/>
    <w:rPr>
      <w:color w:val="000000"/>
      <w:sz w:val="21"/>
      <w:szCs w:val="21"/>
    </w:rPr>
  </w:style>
  <w:style w:type="character" w:customStyle="1" w:styleId="175">
    <w:name w:val="纯文本 Char"/>
    <w:qFormat/>
    <w:uiPriority w:val="0"/>
    <w:rPr>
      <w:rFonts w:ascii="宋体" w:hAnsi="Courier New" w:eastAsia="宋体"/>
      <w:sz w:val="28"/>
      <w:szCs w:val="28"/>
    </w:rPr>
  </w:style>
  <w:style w:type="character" w:customStyle="1" w:styleId="176">
    <w:name w:val="标题 2 Char Char"/>
    <w:qFormat/>
    <w:uiPriority w:val="0"/>
    <w:rPr>
      <w:rFonts w:ascii="Arial" w:hAnsi="Arial" w:eastAsia="黑体"/>
      <w:b/>
      <w:bCs/>
      <w:kern w:val="2"/>
      <w:sz w:val="32"/>
      <w:szCs w:val="32"/>
      <w:lang w:val="en-US" w:eastAsia="zh-CN" w:bidi="ar-SA"/>
    </w:rPr>
  </w:style>
  <w:style w:type="character" w:customStyle="1" w:styleId="177">
    <w:name w:val="正文文本缩进 Char"/>
    <w:qFormat/>
    <w:uiPriority w:val="0"/>
    <w:rPr>
      <w:rFonts w:ascii="黑体" w:hAnsi="宋体" w:eastAsia="黑体"/>
      <w:color w:val="000000"/>
      <w:sz w:val="28"/>
      <w:szCs w:val="32"/>
    </w:rPr>
  </w:style>
  <w:style w:type="character" w:customStyle="1" w:styleId="178">
    <w:name w:val="标题 5 Char"/>
    <w:qFormat/>
    <w:uiPriority w:val="0"/>
    <w:rPr>
      <w:rFonts w:ascii="Times New Roman" w:hAnsi="Times New Roman" w:eastAsia="宋体" w:cs="Times New Roman"/>
      <w:b/>
      <w:bCs/>
      <w:sz w:val="28"/>
      <w:szCs w:val="28"/>
      <w:lang w:val="zh-CN" w:eastAsia="zh-CN"/>
    </w:rPr>
  </w:style>
  <w:style w:type="character" w:customStyle="1" w:styleId="179">
    <w:name w:val="正文缩进1"/>
    <w:qFormat/>
    <w:uiPriority w:val="0"/>
    <w:rPr>
      <w:rFonts w:ascii="Arial" w:hAnsi="Arial" w:eastAsia="宋体" w:cs="Arial"/>
      <w:kern w:val="2"/>
      <w:sz w:val="24"/>
      <w:szCs w:val="24"/>
      <w:lang w:val="en-US" w:eastAsia="zh-CN" w:bidi="ar-SA"/>
    </w:rPr>
  </w:style>
  <w:style w:type="character" w:customStyle="1" w:styleId="180">
    <w:name w:val="正文文本 2 Char"/>
    <w:qFormat/>
    <w:uiPriority w:val="0"/>
    <w:rPr>
      <w:rFonts w:ascii="仿宋_GB2312" w:eastAsia="仿宋_GB2312"/>
      <w:i/>
      <w:iCs/>
      <w:sz w:val="26"/>
      <w:szCs w:val="24"/>
    </w:rPr>
  </w:style>
  <w:style w:type="character" w:customStyle="1" w:styleId="181">
    <w:name w:val="标题 9 Char"/>
    <w:qFormat/>
    <w:uiPriority w:val="0"/>
    <w:rPr>
      <w:rFonts w:ascii="Arial" w:hAnsi="Arial" w:eastAsia="黑体" w:cs="Times New Roman"/>
      <w:kern w:val="0"/>
      <w:szCs w:val="21"/>
      <w:lang w:val="zh-CN" w:eastAsia="zh-CN"/>
    </w:rPr>
  </w:style>
  <w:style w:type="character" w:customStyle="1" w:styleId="182">
    <w:name w:val="批注框文本 Char"/>
    <w:qFormat/>
    <w:uiPriority w:val="0"/>
    <w:rPr>
      <w:sz w:val="18"/>
      <w:szCs w:val="18"/>
    </w:rPr>
  </w:style>
  <w:style w:type="character" w:customStyle="1" w:styleId="183">
    <w:name w:val="正文文本 3 Char"/>
    <w:qFormat/>
    <w:uiPriority w:val="0"/>
    <w:rPr>
      <w:rFonts w:ascii="仿宋_GB2312" w:eastAsia="仿宋_GB2312"/>
      <w:sz w:val="16"/>
      <w:szCs w:val="16"/>
    </w:rPr>
  </w:style>
  <w:style w:type="character" w:customStyle="1" w:styleId="184">
    <w:name w:val="孙普文字 Char"/>
    <w:qFormat/>
    <w:uiPriority w:val="0"/>
    <w:rPr>
      <w:rFonts w:ascii="宋体" w:eastAsia="宋体"/>
      <w:sz w:val="21"/>
      <w:lang w:val="en-US" w:eastAsia="zh-CN" w:bidi="ar-SA"/>
    </w:rPr>
  </w:style>
  <w:style w:type="character" w:customStyle="1" w:styleId="185">
    <w:name w:val="标题 3 Char"/>
    <w:qFormat/>
    <w:uiPriority w:val="0"/>
    <w:rPr>
      <w:rFonts w:ascii="仿宋_GB2312" w:hAnsi="Times New Roman" w:eastAsia="仿宋_GB2312" w:cs="宋体"/>
      <w:b/>
      <w:kern w:val="0"/>
      <w:sz w:val="24"/>
      <w:szCs w:val="28"/>
      <w:lang w:val="zh-CN" w:eastAsia="zh-CN"/>
    </w:rPr>
  </w:style>
  <w:style w:type="character" w:customStyle="1" w:styleId="186">
    <w:name w:val="样式 Char"/>
    <w:link w:val="187"/>
    <w:qFormat/>
    <w:uiPriority w:val="0"/>
    <w:rPr>
      <w:rFonts w:ascii="宋体" w:hAnsi="宋体"/>
      <w:sz w:val="24"/>
    </w:rPr>
  </w:style>
  <w:style w:type="paragraph" w:customStyle="1" w:styleId="187">
    <w:name w:val="样式"/>
    <w:link w:val="186"/>
    <w:qFormat/>
    <w:uiPriority w:val="0"/>
    <w:pPr>
      <w:widowControl w:val="0"/>
      <w:autoSpaceDE w:val="0"/>
      <w:autoSpaceDN w:val="0"/>
      <w:adjustRightInd w:val="0"/>
    </w:pPr>
    <w:rPr>
      <w:rFonts w:ascii="宋体" w:hAnsi="宋体" w:eastAsiaTheme="minorEastAsia" w:cstheme="minorBidi"/>
      <w:kern w:val="2"/>
      <w:sz w:val="24"/>
      <w:szCs w:val="22"/>
      <w:lang w:val="en-US" w:eastAsia="zh-CN" w:bidi="ar-SA"/>
    </w:rPr>
  </w:style>
  <w:style w:type="character" w:customStyle="1" w:styleId="188">
    <w:name w:val="blacktext"/>
    <w:basedOn w:val="51"/>
    <w:qFormat/>
    <w:uiPriority w:val="0"/>
  </w:style>
  <w:style w:type="character" w:customStyle="1" w:styleId="189">
    <w:name w:val="正文（首行缩进两字） Char2"/>
    <w:qFormat/>
    <w:uiPriority w:val="0"/>
    <w:rPr>
      <w:rFonts w:ascii="Arial" w:hAnsi="Arial" w:eastAsia="宋体" w:cs="Arial"/>
      <w:kern w:val="2"/>
      <w:sz w:val="24"/>
      <w:szCs w:val="24"/>
      <w:lang w:val="en-US" w:eastAsia="zh-CN" w:bidi="ar-SA"/>
    </w:rPr>
  </w:style>
  <w:style w:type="character" w:customStyle="1" w:styleId="190">
    <w:name w:val="djcn2"/>
    <w:qFormat/>
    <w:uiPriority w:val="0"/>
    <w:rPr>
      <w:rFonts w:cs="Times New Roman"/>
      <w:color w:val="666666"/>
      <w:lang w:bidi="ar-SA"/>
    </w:rPr>
  </w:style>
  <w:style w:type="character" w:customStyle="1" w:styleId="191">
    <w:name w:val="注释标题 字符"/>
    <w:basedOn w:val="51"/>
    <w:semiHidden/>
    <w:uiPriority w:val="99"/>
    <w:rPr>
      <w:rFonts w:ascii="Times New Roman" w:hAnsi="Times New Roman" w:eastAsia="宋体" w:cs="Times New Roman"/>
      <w:szCs w:val="24"/>
    </w:rPr>
  </w:style>
  <w:style w:type="character" w:customStyle="1" w:styleId="192">
    <w:name w:val="信息标题 字符"/>
    <w:basedOn w:val="51"/>
    <w:semiHidden/>
    <w:uiPriority w:val="99"/>
    <w:rPr>
      <w:rFonts w:asciiTheme="majorHAnsi" w:hAnsiTheme="majorHAnsi" w:eastAsiaTheme="majorEastAsia" w:cstheme="majorBidi"/>
      <w:sz w:val="24"/>
      <w:szCs w:val="24"/>
      <w:shd w:val="pct20" w:color="auto" w:fill="auto"/>
    </w:rPr>
  </w:style>
  <w:style w:type="character" w:customStyle="1" w:styleId="193">
    <w:name w:val="正文首行缩进 2 字符"/>
    <w:basedOn w:val="78"/>
    <w:semiHidden/>
    <w:qFormat/>
    <w:uiPriority w:val="99"/>
    <w:rPr>
      <w:rFonts w:ascii="Times New Roman" w:hAnsi="Times New Roman" w:eastAsia="宋体" w:cs="Times New Roman"/>
      <w:sz w:val="44"/>
      <w:szCs w:val="24"/>
    </w:rPr>
  </w:style>
  <w:style w:type="paragraph" w:customStyle="1" w:styleId="194">
    <w:name w:val="xl52"/>
    <w:basedOn w:val="1"/>
    <w:qFormat/>
    <w:uiPriority w:val="0"/>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195">
    <w:name w:val="font20"/>
    <w:basedOn w:val="1"/>
    <w:qFormat/>
    <w:uiPriority w:val="0"/>
    <w:pPr>
      <w:widowControl/>
      <w:spacing w:before="100" w:beforeAutospacing="1" w:after="100" w:afterAutospacing="1"/>
      <w:jc w:val="left"/>
    </w:pPr>
    <w:rPr>
      <w:rFonts w:ascii="幼圆" w:eastAsia="幼圆" w:cs="宋体"/>
      <w:kern w:val="0"/>
      <w:sz w:val="17"/>
      <w:szCs w:val="17"/>
    </w:rPr>
  </w:style>
  <w:style w:type="paragraph" w:customStyle="1" w:styleId="196">
    <w:name w:val="xl115"/>
    <w:basedOn w:val="1"/>
    <w:qFormat/>
    <w:uiPriority w:val="0"/>
    <w:pPr>
      <w:widowControl/>
      <w:pBdr>
        <w:right w:val="single" w:color="auto" w:sz="4" w:space="0"/>
      </w:pBdr>
      <w:spacing w:before="100" w:beforeAutospacing="1" w:after="100" w:afterAutospacing="1"/>
      <w:jc w:val="left"/>
    </w:pPr>
    <w:rPr>
      <w:rFonts w:ascii="Arial" w:hAnsi="Arial" w:cs="Arial"/>
      <w:kern w:val="0"/>
      <w:sz w:val="17"/>
      <w:szCs w:val="17"/>
    </w:rPr>
  </w:style>
  <w:style w:type="paragraph" w:customStyle="1" w:styleId="197">
    <w:name w:val="xl58"/>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198">
    <w:name w:val="xl85"/>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199">
    <w:name w:val="xl49"/>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00">
    <w:name w:val="xl128"/>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01">
    <w:name w:val="xl71"/>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202">
    <w:name w:val="Default"/>
    <w:qFormat/>
    <w:uiPriority w:val="0"/>
    <w:pPr>
      <w:widowControl w:val="0"/>
      <w:autoSpaceDE w:val="0"/>
      <w:autoSpaceDN w:val="0"/>
      <w:adjustRightInd w:val="0"/>
    </w:pPr>
    <w:rPr>
      <w:rFonts w:ascii="黑体" w:hAnsi="Times New Roman" w:eastAsia="黑体" w:cs="黑体"/>
      <w:lang w:val="en-US" w:eastAsia="zh-CN" w:bidi="ar-SA"/>
    </w:rPr>
  </w:style>
  <w:style w:type="paragraph" w:customStyle="1" w:styleId="203">
    <w:name w:val="xl122"/>
    <w:basedOn w:val="1"/>
    <w:qFormat/>
    <w:uiPriority w:val="0"/>
    <w:pPr>
      <w:widowControl/>
      <w:pBdr>
        <w:right w:val="single" w:color="auto" w:sz="4" w:space="0"/>
      </w:pBdr>
      <w:spacing w:before="100" w:beforeAutospacing="1" w:after="100" w:afterAutospacing="1"/>
      <w:jc w:val="left"/>
    </w:pPr>
    <w:rPr>
      <w:rFonts w:ascii="Arial" w:hAnsi="Arial" w:cs="Arial"/>
      <w:b/>
      <w:bCs/>
      <w:color w:val="000000"/>
      <w:kern w:val="0"/>
      <w:sz w:val="18"/>
      <w:szCs w:val="18"/>
    </w:rPr>
  </w:style>
  <w:style w:type="paragraph" w:customStyle="1" w:styleId="204">
    <w:name w:val="正文（缩进）"/>
    <w:basedOn w:val="1"/>
    <w:qFormat/>
    <w:uiPriority w:val="0"/>
    <w:pPr>
      <w:widowControl/>
      <w:spacing w:before="156" w:after="156"/>
      <w:ind w:firstLine="200" w:firstLineChars="200"/>
      <w:jc w:val="left"/>
    </w:pPr>
    <w:rPr>
      <w:kern w:val="0"/>
      <w:sz w:val="24"/>
    </w:rPr>
  </w:style>
  <w:style w:type="paragraph" w:customStyle="1" w:styleId="205">
    <w:name w:val="xl54"/>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color w:val="000000"/>
      <w:kern w:val="0"/>
      <w:sz w:val="18"/>
      <w:szCs w:val="18"/>
    </w:rPr>
  </w:style>
  <w:style w:type="paragraph" w:customStyle="1" w:styleId="206">
    <w:name w:val="xl130"/>
    <w:basedOn w:val="1"/>
    <w:qFormat/>
    <w:uiPriority w:val="0"/>
    <w:pPr>
      <w:widowControl/>
      <w:pBdr>
        <w:right w:val="single" w:color="auto" w:sz="4" w:space="0"/>
      </w:pBdr>
      <w:spacing w:before="100" w:beforeAutospacing="1" w:after="100" w:afterAutospacing="1"/>
      <w:jc w:val="left"/>
      <w:textAlignment w:val="top"/>
    </w:pPr>
    <w:rPr>
      <w:rFonts w:ascii="幼圆" w:eastAsia="幼圆" w:cs="宋体"/>
      <w:kern w:val="0"/>
      <w:sz w:val="18"/>
      <w:szCs w:val="18"/>
    </w:rPr>
  </w:style>
  <w:style w:type="paragraph" w:customStyle="1" w:styleId="207">
    <w:name w:val="xl59"/>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208">
    <w:name w:val="xl10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09">
    <w:name w:val="1.1.1.1"/>
    <w:basedOn w:val="1"/>
    <w:qFormat/>
    <w:uiPriority w:val="0"/>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210">
    <w:name w:val="xl67"/>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211">
    <w:name w:val="xl69"/>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212">
    <w:name w:val="xl33"/>
    <w:basedOn w:val="1"/>
    <w:qFormat/>
    <w:uiPriority w:val="0"/>
    <w:pPr>
      <w:widowControl/>
      <w:pBdr>
        <w:bottom w:val="single" w:color="auto" w:sz="8" w:space="0"/>
      </w:pBdr>
      <w:spacing w:before="100" w:beforeAutospacing="1" w:after="100" w:afterAutospacing="1"/>
      <w:jc w:val="center"/>
    </w:pPr>
    <w:rPr>
      <w:rFonts w:ascii="Arial" w:hAnsi="Arial" w:cs="Arial"/>
      <w:kern w:val="0"/>
      <w:sz w:val="18"/>
      <w:szCs w:val="18"/>
    </w:rPr>
  </w:style>
  <w:style w:type="paragraph" w:customStyle="1" w:styleId="213">
    <w:name w:val="xl78"/>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214">
    <w:name w:val="表格文字2"/>
    <w:basedOn w:val="215"/>
    <w:qFormat/>
    <w:uiPriority w:val="0"/>
    <w:pPr>
      <w:jc w:val="center"/>
    </w:pPr>
  </w:style>
  <w:style w:type="paragraph" w:customStyle="1" w:styleId="215">
    <w:name w:val="表格文字"/>
    <w:basedOn w:val="1"/>
    <w:qFormat/>
    <w:uiPriority w:val="0"/>
    <w:pPr>
      <w:ind w:right="-10" w:rightChars="-10"/>
    </w:pPr>
    <w:rPr>
      <w:rFonts w:ascii="宋体" w:cs="Arial"/>
      <w:bCs/>
      <w:spacing w:val="-4"/>
      <w:sz w:val="24"/>
    </w:rPr>
  </w:style>
  <w:style w:type="paragraph" w:customStyle="1" w:styleId="216">
    <w:name w:val="6"/>
    <w:basedOn w:val="1"/>
    <w:next w:val="3"/>
    <w:qFormat/>
    <w:uiPriority w:val="0"/>
    <w:rPr>
      <w:rFonts w:ascii="宋体"/>
      <w:sz w:val="28"/>
      <w:szCs w:val="20"/>
    </w:rPr>
  </w:style>
  <w:style w:type="paragraph" w:customStyle="1" w:styleId="217">
    <w:name w:val="NGT第二册.1."/>
    <w:basedOn w:val="5"/>
    <w:qFormat/>
    <w:uiPriority w:val="0"/>
    <w:pPr>
      <w:keepNext/>
      <w:keepLines/>
      <w:tabs>
        <w:tab w:val="left" w:pos="1785"/>
      </w:tabs>
      <w:autoSpaceDE/>
      <w:autoSpaceDN/>
      <w:adjustRightInd/>
      <w:snapToGrid/>
      <w:spacing w:before="160" w:line="240" w:lineRule="auto"/>
      <w:ind w:left="1785" w:hanging="720"/>
      <w:jc w:val="both"/>
    </w:pPr>
    <w:rPr>
      <w:rFonts w:ascii="宋体" w:hAnsi="Cambria" w:eastAsia="宋体" w:cs="Times New Roman"/>
      <w:b w:val="0"/>
      <w:bCs/>
      <w:spacing w:val="0"/>
      <w:w w:val="100"/>
      <w:kern w:val="0"/>
      <w:sz w:val="21"/>
      <w:lang w:val="zh-CN"/>
    </w:rPr>
  </w:style>
  <w:style w:type="paragraph" w:customStyle="1" w:styleId="218">
    <w:name w:val="xl76"/>
    <w:basedOn w:val="1"/>
    <w:qFormat/>
    <w:uiPriority w:val="0"/>
    <w:pPr>
      <w:widowControl/>
      <w:pBdr>
        <w:bottom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219">
    <w:name w:val="xl47"/>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220">
    <w:name w:val="sechead"/>
    <w:basedOn w:val="1"/>
    <w:qFormat/>
    <w:uiPriority w:val="0"/>
    <w:pPr>
      <w:widowControl/>
      <w:spacing w:before="100" w:beforeAutospacing="1" w:after="100" w:afterAutospacing="1"/>
      <w:jc w:val="left"/>
    </w:pPr>
    <w:rPr>
      <w:rFonts w:ascii="Arial" w:hAnsi="Arial" w:cs="Arial"/>
      <w:b/>
      <w:bCs/>
      <w:color w:val="00528C"/>
      <w:kern w:val="0"/>
      <w:sz w:val="27"/>
      <w:szCs w:val="27"/>
    </w:rPr>
  </w:style>
  <w:style w:type="paragraph" w:customStyle="1" w:styleId="221">
    <w:name w:val="font15"/>
    <w:basedOn w:val="1"/>
    <w:qFormat/>
    <w:uiPriority w:val="0"/>
    <w:pPr>
      <w:widowControl/>
      <w:spacing w:before="100" w:beforeAutospacing="1" w:after="100" w:afterAutospacing="1"/>
      <w:jc w:val="left"/>
    </w:pPr>
    <w:rPr>
      <w:rFonts w:ascii="Courier New" w:hAnsi="Courier New" w:cs="Courier New"/>
      <w:kern w:val="0"/>
      <w:sz w:val="18"/>
      <w:szCs w:val="18"/>
    </w:rPr>
  </w:style>
  <w:style w:type="paragraph" w:customStyle="1" w:styleId="222">
    <w:name w:val="Char"/>
    <w:basedOn w:val="17"/>
    <w:qFormat/>
    <w:uiPriority w:val="0"/>
    <w:rPr>
      <w:rFonts w:ascii="Tahoma" w:hAnsi="Tahoma" w:eastAsia="仿宋_GB2312" w:cstheme="minorBidi"/>
      <w:sz w:val="24"/>
      <w:shd w:val="clear" w:color="auto" w:fill="000080"/>
    </w:rPr>
  </w:style>
  <w:style w:type="paragraph" w:customStyle="1" w:styleId="223">
    <w:name w:val="xl55"/>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224">
    <w:name w:val="xl48"/>
    <w:basedOn w:val="1"/>
    <w:qFormat/>
    <w:uiPriority w:val="0"/>
    <w:pPr>
      <w:widowControl/>
      <w:pBdr>
        <w:left w:val="single" w:color="auto" w:sz="8" w:space="0"/>
      </w:pBdr>
      <w:spacing w:before="100" w:beforeAutospacing="1" w:after="100" w:afterAutospacing="1"/>
      <w:jc w:val="left"/>
      <w:textAlignment w:val="bottom"/>
    </w:pPr>
    <w:rPr>
      <w:rFonts w:ascii="Arial" w:hAnsi="Arial" w:cs="Arial"/>
      <w:b/>
      <w:bCs/>
      <w:kern w:val="0"/>
      <w:sz w:val="18"/>
      <w:szCs w:val="18"/>
    </w:rPr>
  </w:style>
  <w:style w:type="paragraph" w:customStyle="1" w:styleId="225">
    <w:name w:val="正文文本缩进 21"/>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226">
    <w:name w:val="xl8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8"/>
      <w:szCs w:val="18"/>
    </w:rPr>
  </w:style>
  <w:style w:type="paragraph" w:customStyle="1" w:styleId="227">
    <w:name w:val="正文文本 22"/>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28">
    <w:name w:val="xl93"/>
    <w:basedOn w:val="1"/>
    <w:qFormat/>
    <w:uiPriority w:val="0"/>
    <w:pPr>
      <w:widowControl/>
      <w:pBdr>
        <w:top w:val="single" w:color="auto" w:sz="8" w:space="0"/>
        <w:bottom w:val="single" w:color="auto" w:sz="8" w:space="0"/>
      </w:pBdr>
      <w:shd w:val="clear" w:color="auto" w:fill="C0C0C0"/>
      <w:spacing w:before="100" w:beforeAutospacing="1" w:after="100" w:afterAutospacing="1"/>
      <w:jc w:val="left"/>
    </w:pPr>
    <w:rPr>
      <w:rFonts w:ascii="Arial" w:hAnsi="Arial" w:cs="Arial"/>
      <w:kern w:val="0"/>
      <w:sz w:val="22"/>
      <w:szCs w:val="22"/>
    </w:rPr>
  </w:style>
  <w:style w:type="paragraph" w:customStyle="1" w:styleId="229">
    <w:name w:val="1."/>
    <w:basedOn w:val="1"/>
    <w:qFormat/>
    <w:uiPriority w:val="0"/>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230">
    <w:name w:val="彩色底纹 - 强调文字颜色 61"/>
    <w:basedOn w:val="4"/>
    <w:next w:val="1"/>
    <w:qFormat/>
    <w:uiPriority w:val="0"/>
    <w:pPr>
      <w:widowControl/>
      <w:spacing w:before="480" w:after="0" w:line="276" w:lineRule="auto"/>
      <w:jc w:val="left"/>
      <w:outlineLvl w:val="9"/>
    </w:pPr>
    <w:rPr>
      <w:rFonts w:ascii="Cambria" w:hAnsi="Cambria"/>
      <w:color w:val="365F91"/>
      <w:kern w:val="0"/>
      <w:sz w:val="24"/>
      <w:szCs w:val="24"/>
    </w:rPr>
  </w:style>
  <w:style w:type="paragraph" w:customStyle="1" w:styleId="231">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232">
    <w:name w:val="font11"/>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33">
    <w:name w:val="標準ゴシック"/>
    <w:qFormat/>
    <w:uiPriority w:val="0"/>
    <w:pPr>
      <w:widowControl w:val="0"/>
      <w:autoSpaceDE w:val="0"/>
      <w:autoSpaceDN w:val="0"/>
      <w:adjustRightInd w:val="0"/>
      <w:spacing w:line="240" w:lineRule="atLeast"/>
      <w:jc w:val="both"/>
    </w:pPr>
    <w:rPr>
      <w:rFonts w:ascii="Arial" w:hAnsi="Arial" w:eastAsia="MS PGothic" w:cs="Times New Roman"/>
      <w:sz w:val="24"/>
      <w:lang w:val="en-US" w:eastAsia="ja-JP" w:bidi="ar-SA"/>
    </w:rPr>
  </w:style>
  <w:style w:type="paragraph" w:customStyle="1" w:styleId="234">
    <w:name w:val="font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35">
    <w:name w:val="xl2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36">
    <w:name w:val="正文文本 21"/>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37">
    <w:name w:val="表格"/>
    <w:qFormat/>
    <w:uiPriority w:val="0"/>
    <w:pPr>
      <w:adjustRightInd w:val="0"/>
      <w:snapToGrid w:val="0"/>
      <w:spacing w:before="20" w:after="20"/>
      <w:jc w:val="center"/>
      <w:textAlignment w:val="baseline"/>
    </w:pPr>
    <w:rPr>
      <w:rFonts w:ascii="Arial" w:hAnsi="Arial" w:eastAsia="宋体" w:cs="Times New Roman"/>
      <w:snapToGrid w:val="0"/>
      <w:sz w:val="21"/>
      <w:lang w:val="en-US" w:eastAsia="zh-CN" w:bidi="ar-SA"/>
    </w:rPr>
  </w:style>
  <w:style w:type="paragraph" w:customStyle="1" w:styleId="238">
    <w:name w:val="xl10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39">
    <w:name w:val="font22"/>
    <w:basedOn w:val="1"/>
    <w:qFormat/>
    <w:uiPriority w:val="0"/>
    <w:pPr>
      <w:widowControl/>
      <w:spacing w:before="100" w:beforeAutospacing="1" w:after="100" w:afterAutospacing="1"/>
      <w:jc w:val="left"/>
    </w:pPr>
    <w:rPr>
      <w:rFonts w:ascii="幼圆" w:eastAsia="幼圆" w:cs="宋体"/>
      <w:color w:val="333333"/>
      <w:kern w:val="0"/>
      <w:sz w:val="17"/>
      <w:szCs w:val="17"/>
    </w:rPr>
  </w:style>
  <w:style w:type="paragraph" w:customStyle="1" w:styleId="240">
    <w:name w:val="font1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41">
    <w:name w:val="xl88"/>
    <w:basedOn w:val="1"/>
    <w:qFormat/>
    <w:uiPriority w:val="0"/>
    <w:pPr>
      <w:widowControl/>
      <w:pBdr>
        <w:right w:val="single" w:color="auto" w:sz="4" w:space="0"/>
      </w:pBdr>
      <w:spacing w:before="100" w:beforeAutospacing="1" w:after="100" w:afterAutospacing="1"/>
      <w:jc w:val="left"/>
    </w:pPr>
    <w:rPr>
      <w:rFonts w:ascii="Arial" w:hAnsi="Arial" w:cs="Arial"/>
      <w:kern w:val="0"/>
      <w:sz w:val="24"/>
    </w:rPr>
  </w:style>
  <w:style w:type="paragraph" w:customStyle="1" w:styleId="242">
    <w:name w:val="Default Paragraph Char Char Char Char"/>
    <w:basedOn w:val="1"/>
    <w:next w:val="1"/>
    <w:qFormat/>
    <w:uiPriority w:val="0"/>
    <w:pPr>
      <w:widowControl/>
      <w:spacing w:line="360" w:lineRule="auto"/>
      <w:jc w:val="left"/>
    </w:pPr>
    <w:rPr>
      <w:kern w:val="0"/>
      <w:szCs w:val="20"/>
      <w:lang w:eastAsia="en-US"/>
    </w:rPr>
  </w:style>
  <w:style w:type="paragraph" w:customStyle="1" w:styleId="243">
    <w:name w:val="xl106"/>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44">
    <w:name w:val="xl73"/>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245">
    <w:name w:val="font14"/>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46">
    <w:name w:val="正文文本 23"/>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47">
    <w:name w:val="xl104"/>
    <w:basedOn w:val="1"/>
    <w:qFormat/>
    <w:uiPriority w:val="0"/>
    <w:pPr>
      <w:widowControl/>
      <w:pBdr>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248">
    <w:name w:val="xl56"/>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249">
    <w:name w:val="一级标题"/>
    <w:basedOn w:val="1"/>
    <w:next w:val="250"/>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250">
    <w:name w:val="二级标题"/>
    <w:basedOn w:val="1"/>
    <w:next w:val="251"/>
    <w:qFormat/>
    <w:uiPriority w:val="0"/>
    <w:pPr>
      <w:tabs>
        <w:tab w:val="left" w:pos="992"/>
      </w:tabs>
      <w:ind w:left="990" w:hanging="567"/>
      <w:outlineLvl w:val="1"/>
    </w:pPr>
    <w:rPr>
      <w:rFonts w:ascii="黑体" w:eastAsia="黑体"/>
      <w:sz w:val="28"/>
    </w:rPr>
  </w:style>
  <w:style w:type="paragraph" w:customStyle="1" w:styleId="251">
    <w:name w:val="文章正文"/>
    <w:basedOn w:val="1"/>
    <w:qFormat/>
    <w:uiPriority w:val="0"/>
    <w:pPr>
      <w:tabs>
        <w:tab w:val="left" w:pos="992"/>
      </w:tabs>
      <w:spacing w:beforeLines="50" w:afterLines="50" w:line="320" w:lineRule="exact"/>
      <w:ind w:firstLine="200" w:firstLineChars="200"/>
    </w:pPr>
    <w:rPr>
      <w:sz w:val="28"/>
    </w:rPr>
  </w:style>
  <w:style w:type="paragraph" w:customStyle="1" w:styleId="252">
    <w:name w:val="xl35"/>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253">
    <w:name w:val="xl53"/>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5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55">
    <w:name w:val="font13"/>
    <w:basedOn w:val="1"/>
    <w:qFormat/>
    <w:uiPriority w:val="0"/>
    <w:pPr>
      <w:widowControl/>
      <w:spacing w:before="100" w:beforeAutospacing="1" w:after="100" w:afterAutospacing="1"/>
      <w:jc w:val="left"/>
    </w:pPr>
    <w:rPr>
      <w:rFonts w:ascii="幼圆" w:eastAsia="幼圆" w:cs="宋体"/>
      <w:kern w:val="0"/>
      <w:szCs w:val="21"/>
    </w:rPr>
  </w:style>
  <w:style w:type="paragraph" w:customStyle="1" w:styleId="256">
    <w:name w:val="正文2"/>
    <w:next w:val="1"/>
    <w:qFormat/>
    <w:uiPriority w:val="0"/>
    <w:pPr>
      <w:autoSpaceDE w:val="0"/>
      <w:autoSpaceDN w:val="0"/>
      <w:adjustRightInd w:val="0"/>
    </w:pPr>
    <w:rPr>
      <w:rFonts w:ascii="宋体" w:hAnsi="Times New Roman" w:eastAsia="宋体" w:cs="Times New Roman"/>
      <w:lang w:val="en-US" w:eastAsia="ja-JP" w:bidi="ar-SA"/>
    </w:rPr>
  </w:style>
  <w:style w:type="paragraph" w:customStyle="1" w:styleId="257">
    <w:name w:val="font2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58">
    <w:name w:val="彩色列表1"/>
    <w:basedOn w:val="1"/>
    <w:qFormat/>
    <w:uiPriority w:val="0"/>
    <w:pPr>
      <w:ind w:firstLine="200" w:firstLineChars="200"/>
    </w:pPr>
    <w:rPr>
      <w:rFonts w:ascii="Calibri" w:hAnsi="Calibri"/>
      <w:szCs w:val="22"/>
    </w:rPr>
  </w:style>
  <w:style w:type="paragraph" w:customStyle="1" w:styleId="259">
    <w:name w:val="font25"/>
    <w:basedOn w:val="1"/>
    <w:qFormat/>
    <w:uiPriority w:val="0"/>
    <w:pPr>
      <w:widowControl/>
      <w:spacing w:before="100" w:beforeAutospacing="1" w:after="100" w:afterAutospacing="1"/>
      <w:jc w:val="left"/>
    </w:pPr>
    <w:rPr>
      <w:rFonts w:ascii="Arial" w:hAnsi="Arial" w:cs="Arial"/>
      <w:color w:val="333333"/>
      <w:kern w:val="0"/>
      <w:sz w:val="17"/>
      <w:szCs w:val="17"/>
    </w:rPr>
  </w:style>
  <w:style w:type="paragraph" w:customStyle="1" w:styleId="260">
    <w:name w:val="样式3"/>
    <w:basedOn w:val="6"/>
    <w:qFormat/>
    <w:uiPriority w:val="0"/>
    <w:pPr>
      <w:keepNext/>
      <w:keepLines/>
      <w:spacing w:before="0" w:line="360" w:lineRule="auto"/>
      <w:ind w:left="119" w:right="-23"/>
    </w:pPr>
    <w:rPr>
      <w:rFonts w:ascii="宋体" w:cs="Times New Roman"/>
      <w:bCs/>
      <w:kern w:val="0"/>
      <w:szCs w:val="32"/>
      <w:lang w:val="zh-CN"/>
    </w:rPr>
  </w:style>
  <w:style w:type="paragraph" w:customStyle="1" w:styleId="261">
    <w:name w:val="Char Char12 Char Char"/>
    <w:basedOn w:val="1"/>
    <w:qFormat/>
    <w:uiPriority w:val="0"/>
    <w:pPr>
      <w:snapToGrid w:val="0"/>
    </w:pPr>
    <w:rPr>
      <w:rFonts w:ascii="Arial" w:hAnsi="Arial"/>
      <w:szCs w:val="21"/>
    </w:rPr>
  </w:style>
  <w:style w:type="paragraph" w:customStyle="1" w:styleId="262">
    <w:name w:val="样式 样式 标题 4 + 首行缩进:  2 字符 右侧:  -0.1 字符 + 首行缩进:  2 字符 右侧:  -0.1 字符"/>
    <w:basedOn w:val="263"/>
    <w:qFormat/>
    <w:uiPriority w:val="0"/>
    <w:pPr>
      <w:tabs>
        <w:tab w:val="left" w:pos="900"/>
      </w:tabs>
      <w:spacing w:afterAutospacing="0"/>
      <w:ind w:right="-24"/>
    </w:pPr>
    <w:rPr>
      <w:rFonts w:eastAsia="宋体"/>
    </w:rPr>
  </w:style>
  <w:style w:type="paragraph" w:customStyle="1" w:styleId="263">
    <w:name w:val="样式 标题 4 + 首行缩进:  2 字符 右侧:  -0.1 字符"/>
    <w:basedOn w:val="7"/>
    <w:qFormat/>
    <w:uiPriority w:val="0"/>
    <w:pPr>
      <w:keepNext/>
      <w:keepLines/>
      <w:tabs>
        <w:tab w:val="left" w:pos="900"/>
      </w:tabs>
      <w:snapToGrid w:val="0"/>
      <w:spacing w:beforeLines="50" w:afterLines="50" w:afterAutospacing="1"/>
      <w:ind w:right="-10" w:firstLine="42" w:firstLineChars="42"/>
      <w:jc w:val="both"/>
    </w:pPr>
    <w:rPr>
      <w:rFonts w:ascii="宋体" w:eastAsia="黑体" w:cs="宋体"/>
      <w:bCs/>
      <w:spacing w:val="-4"/>
      <w:sz w:val="28"/>
      <w:szCs w:val="20"/>
      <w:lang w:val="zh-CN"/>
    </w:rPr>
  </w:style>
  <w:style w:type="paragraph" w:customStyle="1" w:styleId="264">
    <w:name w:val="xl2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65">
    <w:name w:val="xl95"/>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66">
    <w:name w:val="Char Char Char Char Char Char Char2"/>
    <w:basedOn w:val="1"/>
    <w:qFormat/>
    <w:uiPriority w:val="0"/>
    <w:rPr>
      <w:rFonts w:ascii="Tahoma" w:hAnsi="Tahoma" w:eastAsia="仿宋_GB2312"/>
      <w:sz w:val="24"/>
      <w:szCs w:val="32"/>
    </w:rPr>
  </w:style>
  <w:style w:type="paragraph" w:customStyle="1" w:styleId="267">
    <w:name w:val="xl9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68">
    <w:name w:val="font24"/>
    <w:basedOn w:val="1"/>
    <w:qFormat/>
    <w:uiPriority w:val="0"/>
    <w:pPr>
      <w:widowControl/>
      <w:spacing w:before="100" w:beforeAutospacing="1" w:after="100" w:afterAutospacing="1"/>
      <w:jc w:val="left"/>
    </w:pPr>
    <w:rPr>
      <w:rFonts w:ascii="Arial" w:hAnsi="Arial" w:cs="Arial"/>
      <w:color w:val="000000"/>
      <w:kern w:val="0"/>
      <w:sz w:val="17"/>
      <w:szCs w:val="17"/>
    </w:rPr>
  </w:style>
  <w:style w:type="paragraph" w:customStyle="1" w:styleId="269">
    <w:name w:val="xl77"/>
    <w:basedOn w:val="1"/>
    <w:qFormat/>
    <w:uiPriority w:val="0"/>
    <w:pPr>
      <w:widowControl/>
      <w:pBdr>
        <w:bottom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70">
    <w:name w:val="xl119"/>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71">
    <w:name w:val="Normalk"/>
    <w:basedOn w:val="1"/>
    <w:qFormat/>
    <w:uiPriority w:val="0"/>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272">
    <w:name w:val="xl44"/>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73">
    <w:name w:val="xl61"/>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274">
    <w:name w:val="xl82"/>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275">
    <w:name w:val="xl39"/>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76">
    <w:name w:val="font17"/>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77">
    <w:name w:val="xl72"/>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78">
    <w:name w:val="xl40"/>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279">
    <w:name w:val="正文文字3"/>
    <w:basedOn w:val="3"/>
    <w:qFormat/>
    <w:uiPriority w:val="0"/>
    <w:rPr>
      <w:rFonts w:ascii="Times New Roman" w:eastAsia="宋体"/>
      <w:kern w:val="0"/>
      <w:sz w:val="28"/>
    </w:rPr>
  </w:style>
  <w:style w:type="paragraph" w:customStyle="1" w:styleId="280">
    <w:name w:val="1.1.1.1A"/>
    <w:basedOn w:val="209"/>
    <w:qFormat/>
    <w:uiPriority w:val="0"/>
  </w:style>
  <w:style w:type="paragraph" w:customStyle="1" w:styleId="281">
    <w:name w:val="xl37"/>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82">
    <w:name w:val="xl107"/>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幼圆" w:eastAsia="幼圆" w:cs="宋体"/>
      <w:kern w:val="0"/>
      <w:sz w:val="18"/>
      <w:szCs w:val="18"/>
    </w:rPr>
  </w:style>
  <w:style w:type="paragraph" w:customStyle="1" w:styleId="283">
    <w:name w:val="xl81"/>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284">
    <w:name w:val="xl127"/>
    <w:basedOn w:val="1"/>
    <w:qFormat/>
    <w:uiPriority w:val="0"/>
    <w:pPr>
      <w:widowControl/>
      <w:pBdr>
        <w:right w:val="single" w:color="auto" w:sz="4" w:space="0"/>
      </w:pBdr>
      <w:spacing w:before="100" w:beforeAutospacing="1" w:after="100" w:afterAutospacing="1"/>
      <w:jc w:val="left"/>
      <w:textAlignment w:val="bottom"/>
    </w:pPr>
    <w:rPr>
      <w:rFonts w:ascii="Arial" w:hAnsi="Arial" w:cs="Arial"/>
      <w:b/>
      <w:bCs/>
      <w:kern w:val="0"/>
      <w:sz w:val="18"/>
      <w:szCs w:val="18"/>
    </w:rPr>
  </w:style>
  <w:style w:type="paragraph" w:customStyle="1" w:styleId="285">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6">
    <w:name w:val="Char Char Char Char Char Char Char Char Char Char Char Char Char Char Char Char Char Char Char Char Char Char"/>
    <w:basedOn w:val="1"/>
    <w:qFormat/>
    <w:uiPriority w:val="0"/>
    <w:rPr>
      <w:szCs w:val="20"/>
    </w:rPr>
  </w:style>
  <w:style w:type="paragraph" w:customStyle="1" w:styleId="287">
    <w:name w:val="xl126"/>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288">
    <w:name w:val="font27"/>
    <w:basedOn w:val="1"/>
    <w:qFormat/>
    <w:uiPriority w:val="0"/>
    <w:pPr>
      <w:widowControl/>
      <w:spacing w:before="100" w:beforeAutospacing="1" w:after="100" w:afterAutospacing="1"/>
      <w:jc w:val="left"/>
    </w:pPr>
    <w:rPr>
      <w:rFonts w:ascii="Arial" w:hAnsi="Arial" w:cs="Arial"/>
      <w:color w:val="333333"/>
      <w:kern w:val="0"/>
      <w:sz w:val="18"/>
      <w:szCs w:val="18"/>
    </w:rPr>
  </w:style>
  <w:style w:type="paragraph" w:customStyle="1" w:styleId="289">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90">
    <w:name w:val="样式 HS-正文3 + 左侧:  0.7 厘米 悬挂缩进: 3.97 字符"/>
    <w:basedOn w:val="1"/>
    <w:qFormat/>
    <w:uiPriority w:val="0"/>
    <w:pPr>
      <w:tabs>
        <w:tab w:val="left" w:pos="840"/>
      </w:tabs>
      <w:ind w:left="840" w:hanging="420"/>
    </w:pPr>
  </w:style>
  <w:style w:type="paragraph" w:customStyle="1" w:styleId="291">
    <w:name w:val="正文（小标题）"/>
    <w:basedOn w:val="1"/>
    <w:next w:val="3"/>
    <w:qFormat/>
    <w:uiPriority w:val="0"/>
    <w:rPr>
      <w:rFonts w:ascii="宋体"/>
      <w:sz w:val="28"/>
      <w:szCs w:val="20"/>
    </w:rPr>
  </w:style>
  <w:style w:type="paragraph" w:customStyle="1" w:styleId="292">
    <w:name w:val="xl92"/>
    <w:basedOn w:val="1"/>
    <w:qFormat/>
    <w:uiPriority w:val="0"/>
    <w:pPr>
      <w:widowControl/>
      <w:pBdr>
        <w:right w:val="single" w:color="auto" w:sz="4" w:space="0"/>
      </w:pBdr>
      <w:spacing w:before="100" w:beforeAutospacing="1" w:after="100" w:afterAutospacing="1"/>
      <w:jc w:val="left"/>
      <w:textAlignment w:val="bottom"/>
    </w:pPr>
    <w:rPr>
      <w:rFonts w:ascii="幼圆" w:eastAsia="幼圆" w:cs="宋体"/>
      <w:kern w:val="0"/>
      <w:sz w:val="18"/>
      <w:szCs w:val="18"/>
    </w:rPr>
  </w:style>
  <w:style w:type="paragraph" w:customStyle="1" w:styleId="293">
    <w:name w:val="默认段落字体 Para Char Char Char Char Char Char Char"/>
    <w:basedOn w:val="1"/>
    <w:qFormat/>
    <w:uiPriority w:val="0"/>
    <w:rPr>
      <w:rFonts w:cs="Arial"/>
    </w:rPr>
  </w:style>
  <w:style w:type="paragraph" w:customStyle="1" w:styleId="294">
    <w:name w:val="Char Char Char"/>
    <w:basedOn w:val="1"/>
    <w:qFormat/>
    <w:uiPriority w:val="0"/>
    <w:rPr>
      <w:rFonts w:ascii="Tahoma" w:hAnsi="Tahoma" w:cs="Arial"/>
      <w:sz w:val="24"/>
      <w:szCs w:val="20"/>
    </w:rPr>
  </w:style>
  <w:style w:type="paragraph" w:customStyle="1" w:styleId="295">
    <w:name w:val="xl90"/>
    <w:basedOn w:val="1"/>
    <w:qFormat/>
    <w:uiPriority w:val="0"/>
    <w:pPr>
      <w:widowControl/>
      <w:pBdr>
        <w:left w:val="single" w:color="auto" w:sz="8" w:space="0"/>
      </w:pBdr>
      <w:spacing w:before="100" w:beforeAutospacing="1" w:after="100" w:afterAutospacing="1"/>
      <w:jc w:val="left"/>
    </w:pPr>
    <w:rPr>
      <w:rFonts w:ascii="Arial" w:hAnsi="Arial" w:cs="Arial"/>
      <w:kern w:val="0"/>
      <w:sz w:val="24"/>
    </w:rPr>
  </w:style>
  <w:style w:type="paragraph" w:customStyle="1" w:styleId="296">
    <w:name w:val="封面1"/>
    <w:basedOn w:val="1"/>
    <w:qFormat/>
    <w:uiPriority w:val="0"/>
    <w:pPr>
      <w:spacing w:line="360" w:lineRule="auto"/>
      <w:ind w:right="-10" w:rightChars="-10" w:firstLine="225" w:firstLineChars="225"/>
      <w:jc w:val="center"/>
    </w:pPr>
    <w:rPr>
      <w:rFonts w:ascii="Arial" w:hAnsi="Arial" w:cs="Arial"/>
      <w:b/>
      <w:spacing w:val="-4"/>
      <w:sz w:val="28"/>
    </w:rPr>
  </w:style>
  <w:style w:type="paragraph" w:customStyle="1" w:styleId="297">
    <w:name w:val="xl32"/>
    <w:basedOn w:val="1"/>
    <w:qFormat/>
    <w:uiPriority w:val="0"/>
    <w:pPr>
      <w:widowControl/>
      <w:pBdr>
        <w:bottom w:val="single" w:color="auto" w:sz="8" w:space="0"/>
      </w:pBdr>
      <w:spacing w:before="100" w:beforeAutospacing="1" w:after="100" w:afterAutospacing="1"/>
      <w:jc w:val="left"/>
    </w:pPr>
    <w:rPr>
      <w:rFonts w:ascii="Arial" w:hAnsi="Arial" w:cs="Arial"/>
      <w:kern w:val="0"/>
      <w:sz w:val="18"/>
      <w:szCs w:val="18"/>
    </w:rPr>
  </w:style>
  <w:style w:type="paragraph" w:customStyle="1" w:styleId="298">
    <w:name w:val="xl97"/>
    <w:basedOn w:val="1"/>
    <w:qFormat/>
    <w:uiPriority w:val="0"/>
    <w:pPr>
      <w:widowControl/>
      <w:pBdr>
        <w:top w:val="single" w:color="auto" w:sz="4"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299">
    <w:name w:val="xl118"/>
    <w:basedOn w:val="1"/>
    <w:qFormat/>
    <w:uiPriority w:val="0"/>
    <w:pPr>
      <w:widowControl/>
      <w:pBdr>
        <w:right w:val="single" w:color="auto" w:sz="4" w:space="0"/>
      </w:pBdr>
      <w:spacing w:before="100" w:beforeAutospacing="1" w:after="100" w:afterAutospacing="1"/>
      <w:jc w:val="left"/>
    </w:pPr>
    <w:rPr>
      <w:rFonts w:ascii="幼圆" w:eastAsia="幼圆" w:cs="宋体"/>
      <w:kern w:val="0"/>
      <w:sz w:val="17"/>
      <w:szCs w:val="17"/>
    </w:rPr>
  </w:style>
  <w:style w:type="paragraph" w:customStyle="1" w:styleId="300">
    <w:name w:val="xl103"/>
    <w:basedOn w:val="1"/>
    <w:qFormat/>
    <w:uiPriority w:val="0"/>
    <w:pPr>
      <w:widowControl/>
      <w:pBdr>
        <w:left w:val="single" w:color="auto" w:sz="8" w:space="0"/>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301">
    <w:name w:val="xl43"/>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302">
    <w:name w:val="xl5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303">
    <w:name w:val="flNote"/>
    <w:basedOn w:val="1"/>
    <w:qFormat/>
    <w:uiPriority w:val="0"/>
    <w:pPr>
      <w:adjustRightInd w:val="0"/>
      <w:spacing w:before="320" w:after="160" w:line="360" w:lineRule="atLeast"/>
      <w:jc w:val="center"/>
      <w:textAlignment w:val="baseline"/>
    </w:pPr>
    <w:rPr>
      <w:rFonts w:ascii="Arial" w:hAnsi="Arial" w:eastAsia="黑体"/>
      <w:kern w:val="0"/>
      <w:sz w:val="30"/>
      <w:szCs w:val="20"/>
    </w:rPr>
  </w:style>
  <w:style w:type="paragraph" w:customStyle="1" w:styleId="304">
    <w:name w:val="正文文本缩进 22"/>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305">
    <w:name w:val="xl108"/>
    <w:basedOn w:val="1"/>
    <w:qFormat/>
    <w:uiPriority w:val="0"/>
    <w:pPr>
      <w:widowControl/>
      <w:pBdr>
        <w:top w:val="single" w:color="auto" w:sz="8" w:space="0"/>
        <w:left w:val="single" w:color="auto" w:sz="8" w:space="0"/>
        <w:bottom w:val="single" w:color="auto" w:sz="8" w:space="0"/>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306">
    <w:name w:val="列出段落4"/>
    <w:basedOn w:val="1"/>
    <w:unhideWhenUsed/>
    <w:qFormat/>
    <w:uiPriority w:val="99"/>
    <w:pPr>
      <w:ind w:firstLine="420" w:firstLineChars="200"/>
    </w:pPr>
  </w:style>
  <w:style w:type="paragraph" w:customStyle="1" w:styleId="307">
    <w:name w:val="xl57"/>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308">
    <w:name w:val="表格文字（大）"/>
    <w:basedOn w:val="1"/>
    <w:qFormat/>
    <w:uiPriority w:val="0"/>
    <w:pPr>
      <w:spacing w:before="20" w:after="20"/>
    </w:pPr>
    <w:rPr>
      <w:rFonts w:ascii="Century Gothic" w:hAnsi="Century Gothic"/>
      <w:sz w:val="24"/>
      <w:szCs w:val="20"/>
    </w:rPr>
  </w:style>
  <w:style w:type="paragraph" w:customStyle="1" w:styleId="309">
    <w:name w:val="Losange 1"/>
    <w:basedOn w:val="310"/>
    <w:qFormat/>
    <w:uiPriority w:val="0"/>
    <w:pPr>
      <w:ind w:left="1531" w:hanging="397"/>
    </w:pPr>
  </w:style>
  <w:style w:type="paragraph" w:customStyle="1" w:styleId="310">
    <w:name w:val="Retrait 1"/>
    <w:basedOn w:val="1"/>
    <w:qFormat/>
    <w:uiPriority w:val="0"/>
    <w:pPr>
      <w:widowControl/>
      <w:overflowPunct w:val="0"/>
      <w:autoSpaceDE w:val="0"/>
      <w:autoSpaceDN w:val="0"/>
      <w:adjustRightInd w:val="0"/>
      <w:spacing w:before="120"/>
      <w:ind w:left="851" w:right="-10" w:rightChars="-10"/>
      <w:textAlignment w:val="baseline"/>
    </w:pPr>
    <w:rPr>
      <w:rFonts w:ascii="Arial" w:hAnsi="Arial" w:cs="Arial"/>
      <w:kern w:val="0"/>
      <w:sz w:val="20"/>
      <w:szCs w:val="20"/>
      <w:lang w:val="en-GB" w:eastAsia="en-GB"/>
    </w:rPr>
  </w:style>
  <w:style w:type="paragraph" w:customStyle="1" w:styleId="311">
    <w:name w:val="正文居中"/>
    <w:basedOn w:val="1"/>
    <w:qFormat/>
    <w:uiPriority w:val="0"/>
    <w:pPr>
      <w:spacing w:line="360" w:lineRule="auto"/>
      <w:ind w:right="-10" w:rightChars="-10" w:firstLine="225" w:firstLineChars="225"/>
      <w:jc w:val="center"/>
    </w:pPr>
    <w:rPr>
      <w:rFonts w:ascii="Arial" w:hAnsi="Arial" w:cs="Arial"/>
      <w:b/>
      <w:bCs/>
      <w:spacing w:val="-4"/>
      <w:sz w:val="28"/>
    </w:rPr>
  </w:style>
  <w:style w:type="paragraph" w:customStyle="1" w:styleId="312">
    <w:name w:val="1.1.1.1A-1"/>
    <w:basedOn w:val="280"/>
    <w:qFormat/>
    <w:uiPriority w:val="0"/>
    <w:pPr>
      <w:tabs>
        <w:tab w:val="left" w:pos="1985"/>
        <w:tab w:val="clear" w:pos="26875"/>
      </w:tabs>
      <w:ind w:left="1985" w:hanging="425"/>
    </w:pPr>
  </w:style>
  <w:style w:type="paragraph" w:customStyle="1" w:styleId="313">
    <w:name w:val="封面2"/>
    <w:basedOn w:val="1"/>
    <w:qFormat/>
    <w:uiPriority w:val="0"/>
    <w:pPr>
      <w:adjustRightInd w:val="0"/>
      <w:spacing w:line="360" w:lineRule="auto"/>
      <w:ind w:right="-10" w:rightChars="-10"/>
      <w:jc w:val="center"/>
      <w:textAlignment w:val="baseline"/>
    </w:pPr>
    <w:rPr>
      <w:rFonts w:ascii="黑体" w:eastAsia="黑体" w:cs="Arial"/>
      <w:b/>
      <w:bCs/>
      <w:spacing w:val="-4"/>
      <w:sz w:val="110"/>
      <w:szCs w:val="20"/>
    </w:rPr>
  </w:style>
  <w:style w:type="paragraph" w:customStyle="1" w:styleId="314">
    <w:name w:val="正文文本缩进 23"/>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315">
    <w:name w:val="xl75"/>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316">
    <w:name w:val="正文文字2"/>
    <w:basedOn w:val="3"/>
    <w:qFormat/>
    <w:uiPriority w:val="0"/>
    <w:pPr>
      <w:adjustRightInd w:val="0"/>
      <w:spacing w:after="60" w:line="360" w:lineRule="atLeast"/>
      <w:ind w:left="30" w:leftChars="30" w:right="30" w:rightChars="30"/>
      <w:jc w:val="center"/>
      <w:textAlignment w:val="baseline"/>
    </w:pPr>
    <w:rPr>
      <w:rFonts w:ascii="Arial" w:hAnsi="Arial" w:eastAsia="黑体"/>
      <w:kern w:val="0"/>
      <w:szCs w:val="20"/>
    </w:rPr>
  </w:style>
  <w:style w:type="paragraph" w:customStyle="1" w:styleId="317">
    <w:name w:val="table"/>
    <w:basedOn w:val="1"/>
    <w:qFormat/>
    <w:uiPriority w:val="0"/>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318">
    <w:name w:val="标题2"/>
    <w:basedOn w:val="1"/>
    <w:qFormat/>
    <w:uiPriority w:val="0"/>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319">
    <w:name w:val="xl66"/>
    <w:basedOn w:val="1"/>
    <w:qFormat/>
    <w:uiPriority w:val="0"/>
    <w:pPr>
      <w:widowControl/>
      <w:pBdr>
        <w:right w:val="single" w:color="auto" w:sz="4" w:space="0"/>
      </w:pBdr>
      <w:spacing w:before="100" w:beforeAutospacing="1" w:after="100" w:afterAutospacing="1"/>
    </w:pPr>
    <w:rPr>
      <w:rFonts w:ascii="Arial" w:hAnsi="Arial" w:cs="Arial"/>
      <w:color w:val="000000"/>
      <w:kern w:val="0"/>
      <w:sz w:val="18"/>
      <w:szCs w:val="18"/>
    </w:rPr>
  </w:style>
  <w:style w:type="paragraph" w:customStyle="1" w:styleId="320">
    <w:name w:val="xl83"/>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321">
    <w:name w:val="xl110"/>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b/>
      <w:bCs/>
      <w:kern w:val="0"/>
      <w:sz w:val="18"/>
      <w:szCs w:val="18"/>
    </w:rPr>
  </w:style>
  <w:style w:type="paragraph" w:customStyle="1" w:styleId="322">
    <w:name w:val="xl5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323">
    <w:name w:val="xl29"/>
    <w:basedOn w:val="1"/>
    <w:qFormat/>
    <w:uiPriority w:val="0"/>
    <w:pPr>
      <w:widowControl/>
      <w:spacing w:before="100" w:beforeAutospacing="1" w:after="100" w:afterAutospacing="1"/>
      <w:jc w:val="center"/>
    </w:pPr>
    <w:rPr>
      <w:rFonts w:ascii="Arial" w:hAnsi="Arial" w:cs="Arial"/>
      <w:kern w:val="0"/>
      <w:sz w:val="18"/>
      <w:szCs w:val="18"/>
    </w:rPr>
  </w:style>
  <w:style w:type="paragraph" w:customStyle="1" w:styleId="324">
    <w:name w:val="默认段落字体 Para Char Char Char Char"/>
    <w:basedOn w:val="1"/>
    <w:qFormat/>
    <w:uiPriority w:val="0"/>
  </w:style>
  <w:style w:type="paragraph" w:customStyle="1" w:styleId="325">
    <w:name w:val="Char Char Char Char Char Char Char"/>
    <w:basedOn w:val="1"/>
    <w:qFormat/>
    <w:uiPriority w:val="0"/>
    <w:rPr>
      <w:rFonts w:ascii="Tahoma" w:hAnsi="Tahoma"/>
      <w:sz w:val="24"/>
      <w:szCs w:val="20"/>
    </w:rPr>
  </w:style>
  <w:style w:type="paragraph" w:customStyle="1" w:styleId="326">
    <w:name w:val="正文小标题"/>
    <w:basedOn w:val="1"/>
    <w:next w:val="21"/>
    <w:qFormat/>
    <w:uiPriority w:val="0"/>
    <w:pPr>
      <w:spacing w:after="120" w:line="360" w:lineRule="auto"/>
      <w:ind w:left="700" w:leftChars="700" w:right="700" w:rightChars="700" w:firstLine="225" w:firstLineChars="225"/>
    </w:pPr>
    <w:rPr>
      <w:rFonts w:ascii="Arial" w:hAnsi="Arial" w:cs="Arial"/>
      <w:sz w:val="24"/>
    </w:rPr>
  </w:style>
  <w:style w:type="paragraph" w:customStyle="1" w:styleId="327">
    <w:name w:val="xl131"/>
    <w:basedOn w:val="1"/>
    <w:qFormat/>
    <w:uiPriority w:val="0"/>
    <w:pPr>
      <w:widowControl/>
      <w:spacing w:before="100" w:beforeAutospacing="1" w:after="100" w:afterAutospacing="1"/>
      <w:jc w:val="right"/>
    </w:pPr>
    <w:rPr>
      <w:rFonts w:ascii="宋体" w:cs="宋体"/>
      <w:b/>
      <w:bCs/>
      <w:kern w:val="0"/>
      <w:sz w:val="20"/>
      <w:szCs w:val="20"/>
    </w:rPr>
  </w:style>
  <w:style w:type="paragraph" w:customStyle="1" w:styleId="328">
    <w:name w:val="font8"/>
    <w:basedOn w:val="1"/>
    <w:qFormat/>
    <w:uiPriority w:val="0"/>
    <w:pPr>
      <w:widowControl/>
      <w:spacing w:before="100" w:beforeAutospacing="1" w:after="100" w:afterAutospacing="1"/>
      <w:jc w:val="left"/>
    </w:pPr>
    <w:rPr>
      <w:rFonts w:ascii="幼圆" w:eastAsia="幼圆" w:cs="宋体"/>
      <w:b/>
      <w:bCs/>
      <w:kern w:val="0"/>
      <w:sz w:val="18"/>
      <w:szCs w:val="18"/>
    </w:rPr>
  </w:style>
  <w:style w:type="paragraph" w:customStyle="1" w:styleId="329">
    <w:name w:val="font12"/>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0">
    <w:name w:val="font28"/>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31">
    <w:name w:val="xl113"/>
    <w:basedOn w:val="1"/>
    <w:qFormat/>
    <w:uiPriority w:val="0"/>
    <w:pPr>
      <w:widowControl/>
      <w:pBdr>
        <w:right w:val="single" w:color="auto" w:sz="4" w:space="0"/>
      </w:pBdr>
      <w:spacing w:before="100" w:beforeAutospacing="1" w:after="100" w:afterAutospacing="1"/>
      <w:jc w:val="left"/>
    </w:pPr>
    <w:rPr>
      <w:rFonts w:ascii="幼圆" w:eastAsia="幼圆" w:cs="宋体"/>
      <w:kern w:val="0"/>
      <w:sz w:val="20"/>
      <w:szCs w:val="20"/>
    </w:rPr>
  </w:style>
  <w:style w:type="paragraph" w:customStyle="1" w:styleId="332">
    <w:name w:val="xl28"/>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4">
    <w:name w:val="标题-8"/>
    <w:basedOn w:val="1"/>
    <w:next w:val="1"/>
    <w:qFormat/>
    <w:uiPriority w:val="0"/>
    <w:pPr>
      <w:tabs>
        <w:tab w:val="left" w:pos="1418"/>
      </w:tabs>
      <w:snapToGrid w:val="0"/>
      <w:spacing w:line="360" w:lineRule="auto"/>
      <w:ind w:left="1418" w:hanging="1418"/>
      <w:outlineLvl w:val="7"/>
    </w:pPr>
  </w:style>
  <w:style w:type="paragraph" w:customStyle="1" w:styleId="335">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336">
    <w:name w:val="Char3 Char Char Char"/>
    <w:basedOn w:val="1"/>
    <w:qFormat/>
    <w:uiPriority w:val="0"/>
    <w:pPr>
      <w:tabs>
        <w:tab w:val="left" w:pos="360"/>
      </w:tabs>
    </w:pPr>
    <w:rPr>
      <w:rFonts w:ascii="仿宋_GB2312" w:eastAsia="仿宋_GB2312"/>
      <w:b/>
      <w:sz w:val="32"/>
      <w:szCs w:val="32"/>
    </w:rPr>
  </w:style>
  <w:style w:type="paragraph" w:customStyle="1" w:styleId="337">
    <w:name w:val="font21"/>
    <w:basedOn w:val="1"/>
    <w:qFormat/>
    <w:uiPriority w:val="0"/>
    <w:pPr>
      <w:widowControl/>
      <w:spacing w:before="100" w:beforeAutospacing="1" w:after="100" w:afterAutospacing="1"/>
      <w:jc w:val="left"/>
    </w:pPr>
    <w:rPr>
      <w:rFonts w:ascii="幼圆" w:eastAsia="幼圆" w:cs="宋体"/>
      <w:color w:val="000000"/>
      <w:kern w:val="0"/>
      <w:sz w:val="17"/>
      <w:szCs w:val="17"/>
    </w:rPr>
  </w:style>
  <w:style w:type="paragraph" w:customStyle="1" w:styleId="338">
    <w:name w:val="font23"/>
    <w:basedOn w:val="1"/>
    <w:qFormat/>
    <w:uiPriority w:val="0"/>
    <w:pPr>
      <w:widowControl/>
      <w:spacing w:before="100" w:beforeAutospacing="1" w:after="100" w:afterAutospacing="1"/>
      <w:jc w:val="left"/>
    </w:pPr>
    <w:rPr>
      <w:rFonts w:ascii="Arial" w:hAnsi="Arial" w:cs="Arial"/>
      <w:b/>
      <w:bCs/>
      <w:kern w:val="0"/>
      <w:sz w:val="17"/>
      <w:szCs w:val="17"/>
    </w:rPr>
  </w:style>
  <w:style w:type="paragraph" w:customStyle="1" w:styleId="339">
    <w:name w:val="xl114"/>
    <w:basedOn w:val="1"/>
    <w:qFormat/>
    <w:uiPriority w:val="0"/>
    <w:pPr>
      <w:widowControl/>
      <w:pBdr>
        <w:left w:val="single" w:color="auto" w:sz="4" w:space="0"/>
        <w:right w:val="single" w:color="auto" w:sz="8" w:space="0"/>
      </w:pBdr>
      <w:spacing w:before="100" w:beforeAutospacing="1" w:after="100" w:afterAutospacing="1"/>
      <w:jc w:val="center"/>
      <w:textAlignment w:val="top"/>
    </w:pPr>
    <w:rPr>
      <w:rFonts w:ascii="Arial" w:hAnsi="Arial" w:cs="Arial"/>
      <w:kern w:val="0"/>
      <w:sz w:val="18"/>
      <w:szCs w:val="18"/>
    </w:rPr>
  </w:style>
  <w:style w:type="paragraph" w:customStyle="1" w:styleId="340">
    <w:name w:val="標準箇条書き"/>
    <w:basedOn w:val="1"/>
    <w:qFormat/>
    <w:uiPriority w:val="0"/>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341">
    <w:name w:val="xl11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b/>
      <w:bCs/>
      <w:kern w:val="0"/>
      <w:sz w:val="18"/>
      <w:szCs w:val="18"/>
    </w:rPr>
  </w:style>
  <w:style w:type="paragraph" w:customStyle="1" w:styleId="342">
    <w:name w:val="列出段落1"/>
    <w:basedOn w:val="1"/>
    <w:qFormat/>
    <w:uiPriority w:val="34"/>
    <w:pPr>
      <w:ind w:firstLine="420" w:firstLineChars="200"/>
    </w:pPr>
    <w:rPr>
      <w:rFonts w:ascii="Calibri" w:hAnsi="Calibri"/>
      <w:szCs w:val="22"/>
    </w:rPr>
  </w:style>
  <w:style w:type="paragraph" w:customStyle="1" w:styleId="343">
    <w:name w:val="xl125"/>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44">
    <w:name w:val="正文1"/>
    <w:basedOn w:val="1"/>
    <w:qFormat/>
    <w:uiPriority w:val="0"/>
    <w:pPr>
      <w:ind w:firstLine="540"/>
    </w:pPr>
    <w:rPr>
      <w:rFonts w:cs="Arial"/>
      <w:sz w:val="24"/>
      <w:szCs w:val="20"/>
    </w:rPr>
  </w:style>
  <w:style w:type="paragraph" w:customStyle="1" w:styleId="345">
    <w:name w:val="xl38"/>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kern w:val="0"/>
      <w:sz w:val="18"/>
      <w:szCs w:val="18"/>
    </w:rPr>
  </w:style>
  <w:style w:type="paragraph" w:customStyle="1" w:styleId="346">
    <w:name w:val="xl70"/>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347">
    <w:name w:val="xl123"/>
    <w:basedOn w:val="1"/>
    <w:qFormat/>
    <w:uiPriority w:val="0"/>
    <w:pPr>
      <w:widowControl/>
      <w:spacing w:before="100" w:beforeAutospacing="1" w:after="100" w:afterAutospacing="1"/>
      <w:jc w:val="left"/>
      <w:textAlignment w:val="bottom"/>
    </w:pPr>
    <w:rPr>
      <w:rFonts w:ascii="Arial" w:hAnsi="Arial" w:cs="Arial"/>
      <w:kern w:val="0"/>
      <w:sz w:val="12"/>
      <w:szCs w:val="12"/>
    </w:rPr>
  </w:style>
  <w:style w:type="paragraph" w:customStyle="1" w:styleId="348">
    <w:name w:val="Char12"/>
    <w:basedOn w:val="1"/>
    <w:qFormat/>
    <w:uiPriority w:val="0"/>
    <w:pPr>
      <w:widowControl/>
      <w:spacing w:after="160" w:line="240" w:lineRule="exact"/>
      <w:jc w:val="center"/>
    </w:pPr>
    <w:rPr>
      <w:rFonts w:ascii="仿宋_GB2312" w:hAnsi="Verdana" w:eastAsia="仿宋_GB2312"/>
      <w:kern w:val="0"/>
      <w:szCs w:val="21"/>
      <w:lang w:eastAsia="en-US"/>
    </w:rPr>
  </w:style>
  <w:style w:type="paragraph" w:customStyle="1" w:styleId="349">
    <w:name w:val="xl74"/>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color w:val="000000"/>
      <w:kern w:val="0"/>
      <w:sz w:val="18"/>
      <w:szCs w:val="18"/>
    </w:rPr>
  </w:style>
  <w:style w:type="paragraph" w:customStyle="1" w:styleId="350">
    <w:name w:val="默认段落字体 Para Char Char Char Char Char Char Char Char Char1 Char"/>
    <w:basedOn w:val="1"/>
    <w:qFormat/>
    <w:uiPriority w:val="0"/>
    <w:rPr>
      <w:rFonts w:ascii="Tahoma" w:hAnsi="Tahoma"/>
      <w:sz w:val="24"/>
      <w:szCs w:val="20"/>
    </w:rPr>
  </w:style>
  <w:style w:type="paragraph" w:customStyle="1" w:styleId="351">
    <w:name w:val="CM7"/>
    <w:basedOn w:val="1"/>
    <w:next w:val="1"/>
    <w:qFormat/>
    <w:uiPriority w:val="0"/>
    <w:pPr>
      <w:autoSpaceDE w:val="0"/>
      <w:autoSpaceDN w:val="0"/>
      <w:adjustRightInd w:val="0"/>
      <w:spacing w:line="193" w:lineRule="atLeast"/>
      <w:jc w:val="left"/>
    </w:pPr>
    <w:rPr>
      <w:rFonts w:ascii="Myriad Pro" w:hAnsi="Myriad Pro" w:eastAsia="Myriad Pro" w:cs="Myriad Pro"/>
      <w:kern w:val="0"/>
      <w:sz w:val="24"/>
    </w:rPr>
  </w:style>
  <w:style w:type="paragraph" w:customStyle="1" w:styleId="352">
    <w:name w:val="xl45"/>
    <w:basedOn w:val="1"/>
    <w:qFormat/>
    <w:uiPriority w:val="0"/>
    <w:pPr>
      <w:widowControl/>
      <w:pBdr>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353">
    <w:name w:val="xl89"/>
    <w:basedOn w:val="1"/>
    <w:qFormat/>
    <w:uiPriority w:val="0"/>
    <w:pPr>
      <w:widowControl/>
      <w:pBdr>
        <w:right w:val="single" w:color="auto" w:sz="4" w:space="0"/>
      </w:pBdr>
      <w:spacing w:before="100" w:beforeAutospacing="1" w:after="100" w:afterAutospacing="1"/>
      <w:jc w:val="left"/>
    </w:pPr>
    <w:rPr>
      <w:rFonts w:ascii="Arial" w:hAnsi="Arial" w:cs="Arial"/>
      <w:kern w:val="0"/>
      <w:szCs w:val="21"/>
    </w:rPr>
  </w:style>
  <w:style w:type="paragraph" w:customStyle="1" w:styleId="354">
    <w:name w:val="xl64"/>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355">
    <w:name w:val="xl96"/>
    <w:basedOn w:val="1"/>
    <w:qFormat/>
    <w:uiPriority w:val="0"/>
    <w:pPr>
      <w:widowControl/>
      <w:pBdr>
        <w:top w:val="single" w:color="auto" w:sz="4" w:space="0"/>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356">
    <w:name w:val="xl124"/>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357">
    <w:name w:val="Char Char Char Char Char Char Char1 Char Char Char"/>
    <w:basedOn w:val="1"/>
    <w:qFormat/>
    <w:uiPriority w:val="0"/>
    <w:rPr>
      <w:rFonts w:ascii="Tahoma" w:hAnsi="Tahoma"/>
      <w:sz w:val="24"/>
      <w:szCs w:val="20"/>
    </w:rPr>
  </w:style>
  <w:style w:type="paragraph" w:customStyle="1" w:styleId="358">
    <w:name w:val="xl84"/>
    <w:basedOn w:val="1"/>
    <w:qFormat/>
    <w:uiPriority w:val="0"/>
    <w:pPr>
      <w:widowControl/>
      <w:pBdr>
        <w:left w:val="single" w:color="auto" w:sz="4" w:space="0"/>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359">
    <w:name w:val="font19"/>
    <w:basedOn w:val="1"/>
    <w:qFormat/>
    <w:uiPriority w:val="0"/>
    <w:pPr>
      <w:widowControl/>
      <w:spacing w:before="100" w:beforeAutospacing="1" w:after="100" w:afterAutospacing="1"/>
      <w:jc w:val="left"/>
    </w:pPr>
    <w:rPr>
      <w:rFonts w:ascii="Arial" w:hAnsi="Arial" w:cs="Arial"/>
      <w:kern w:val="0"/>
      <w:sz w:val="17"/>
      <w:szCs w:val="17"/>
    </w:rPr>
  </w:style>
  <w:style w:type="paragraph" w:customStyle="1" w:styleId="360">
    <w:name w:val="样式5"/>
    <w:basedOn w:val="1"/>
    <w:next w:val="1"/>
    <w:qFormat/>
    <w:uiPriority w:val="0"/>
    <w:pPr>
      <w:adjustRightInd w:val="0"/>
      <w:spacing w:line="360" w:lineRule="atLeast"/>
      <w:textAlignment w:val="baseline"/>
    </w:pPr>
    <w:rPr>
      <w:kern w:val="0"/>
      <w:sz w:val="24"/>
      <w:szCs w:val="20"/>
    </w:rPr>
  </w:style>
  <w:style w:type="paragraph" w:customStyle="1" w:styleId="361">
    <w:name w:val="注释级别 2"/>
    <w:qFormat/>
    <w:uiPriority w:val="0"/>
    <w:rPr>
      <w:rFonts w:ascii="Times New Roman" w:hAnsi="Times New Roman" w:eastAsia="宋体" w:cs="Times New Roman"/>
      <w:sz w:val="22"/>
      <w:lang w:val="en-US" w:eastAsia="zh-CN" w:bidi="ar-SA"/>
    </w:rPr>
  </w:style>
  <w:style w:type="paragraph" w:customStyle="1" w:styleId="362">
    <w:name w:val="xl11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7"/>
      <w:szCs w:val="17"/>
    </w:rPr>
  </w:style>
  <w:style w:type="paragraph" w:customStyle="1" w:styleId="363">
    <w:name w:val="xl94"/>
    <w:basedOn w:val="1"/>
    <w:qFormat/>
    <w:uiPriority w:val="0"/>
    <w:pPr>
      <w:widowControl/>
      <w:pBdr>
        <w:top w:val="single" w:color="auto" w:sz="8" w:space="0"/>
        <w:bottom w:val="single" w:color="auto" w:sz="8" w:space="0"/>
      </w:pBdr>
      <w:shd w:val="clear" w:color="auto" w:fill="C0C0C0"/>
      <w:spacing w:before="100" w:beforeAutospacing="1" w:after="100" w:afterAutospacing="1"/>
      <w:jc w:val="center"/>
    </w:pPr>
    <w:rPr>
      <w:rFonts w:ascii="Arial" w:hAnsi="Arial" w:cs="Arial"/>
      <w:kern w:val="0"/>
      <w:sz w:val="22"/>
      <w:szCs w:val="22"/>
    </w:rPr>
  </w:style>
  <w:style w:type="paragraph" w:customStyle="1" w:styleId="364">
    <w:name w:val="Char Char1 Char Char Char Char Char Char Char Char"/>
    <w:basedOn w:val="1"/>
    <w:qFormat/>
    <w:uiPriority w:val="0"/>
    <w:pPr>
      <w:widowControl/>
      <w:adjustRightInd w:val="0"/>
      <w:spacing w:line="360" w:lineRule="auto"/>
      <w:jc w:val="left"/>
    </w:pPr>
    <w:rPr>
      <w:rFonts w:ascii="Arial" w:hAnsi="Arial"/>
      <w:kern w:val="0"/>
      <w:sz w:val="30"/>
      <w:szCs w:val="30"/>
      <w:lang w:eastAsia="en-US"/>
    </w:rPr>
  </w:style>
  <w:style w:type="paragraph" w:customStyle="1" w:styleId="365">
    <w:name w:val="Char1"/>
    <w:basedOn w:val="1"/>
    <w:qFormat/>
    <w:uiPriority w:val="0"/>
    <w:rPr>
      <w:rFonts w:ascii="Tahoma" w:hAnsi="Tahoma" w:cs="Arial"/>
      <w:sz w:val="24"/>
      <w:szCs w:val="20"/>
    </w:rPr>
  </w:style>
  <w:style w:type="paragraph" w:customStyle="1" w:styleId="366">
    <w:name w:val="xl63"/>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367">
    <w:name w:val="正文黑体"/>
    <w:basedOn w:val="1"/>
    <w:qFormat/>
    <w:uiPriority w:val="0"/>
    <w:pPr>
      <w:spacing w:line="480" w:lineRule="auto"/>
      <w:ind w:right="-10" w:rightChars="-10"/>
    </w:pPr>
    <w:rPr>
      <w:rFonts w:ascii="Arial" w:hAnsi="Arial" w:eastAsia="黑体" w:cs="Arial"/>
      <w:b/>
      <w:bCs/>
      <w:spacing w:val="-4"/>
      <w:sz w:val="24"/>
    </w:rPr>
  </w:style>
  <w:style w:type="paragraph" w:customStyle="1" w:styleId="368">
    <w:name w:val="p15"/>
    <w:basedOn w:val="1"/>
    <w:qFormat/>
    <w:uiPriority w:val="0"/>
    <w:pPr>
      <w:widowControl/>
      <w:ind w:firstLine="420"/>
    </w:pPr>
    <w:rPr>
      <w:rFonts w:ascii="Calibri" w:hAnsi="Calibri" w:cs="宋体"/>
      <w:kern w:val="0"/>
      <w:szCs w:val="21"/>
    </w:rPr>
  </w:style>
  <w:style w:type="paragraph" w:customStyle="1" w:styleId="369">
    <w:name w:val="xl10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370">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371">
    <w:name w:val="xl42"/>
    <w:basedOn w:val="1"/>
    <w:qFormat/>
    <w:uiPriority w:val="0"/>
    <w:pPr>
      <w:widowControl/>
      <w:pBdr>
        <w:left w:val="single" w:color="auto" w:sz="4" w:space="0"/>
      </w:pBdr>
      <w:spacing w:before="100" w:beforeAutospacing="1" w:after="100" w:afterAutospacing="1"/>
      <w:jc w:val="center"/>
    </w:pPr>
    <w:rPr>
      <w:rFonts w:ascii="Arial" w:hAnsi="Arial" w:cs="Arial"/>
      <w:kern w:val="0"/>
      <w:sz w:val="18"/>
      <w:szCs w:val="18"/>
    </w:rPr>
  </w:style>
  <w:style w:type="paragraph" w:customStyle="1" w:styleId="372">
    <w:name w:val="正文文本缩进1"/>
    <w:basedOn w:val="1"/>
    <w:qFormat/>
    <w:uiPriority w:val="0"/>
    <w:pPr>
      <w:widowControl/>
      <w:spacing w:after="120"/>
      <w:ind w:left="200" w:leftChars="200"/>
      <w:jc w:val="left"/>
    </w:pPr>
    <w:rPr>
      <w:rFonts w:ascii="Tahoma" w:hAnsi="Tahoma"/>
      <w:szCs w:val="30"/>
    </w:rPr>
  </w:style>
  <w:style w:type="paragraph" w:customStyle="1" w:styleId="373">
    <w:name w:val="正文靠右"/>
    <w:basedOn w:val="1"/>
    <w:qFormat/>
    <w:uiPriority w:val="0"/>
    <w:pPr>
      <w:wordWrap w:val="0"/>
      <w:spacing w:line="360" w:lineRule="auto"/>
      <w:ind w:right="-10" w:rightChars="-10" w:firstLine="225" w:firstLineChars="225"/>
      <w:jc w:val="right"/>
    </w:pPr>
    <w:rPr>
      <w:rFonts w:ascii="Arial" w:hAnsi="Arial" w:cs="Arial"/>
      <w:spacing w:val="-4"/>
      <w:sz w:val="24"/>
    </w:rPr>
  </w:style>
  <w:style w:type="paragraph" w:customStyle="1" w:styleId="374">
    <w:name w:val="xl98"/>
    <w:basedOn w:val="1"/>
    <w:qFormat/>
    <w:uiPriority w:val="0"/>
    <w:pPr>
      <w:widowControl/>
      <w:pBdr>
        <w:top w:val="single" w:color="auto" w:sz="8"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375">
    <w:name w:val="caption_small"/>
    <w:basedOn w:val="1"/>
    <w:qFormat/>
    <w:uiPriority w:val="0"/>
    <w:pPr>
      <w:widowControl/>
      <w:spacing w:before="100" w:beforeAutospacing="1" w:after="100" w:afterAutospacing="1"/>
      <w:jc w:val="left"/>
    </w:pPr>
    <w:rPr>
      <w:rFonts w:ascii="Verdana" w:hAnsi="Verdana" w:cs="宋体"/>
      <w:color w:val="333333"/>
      <w:kern w:val="0"/>
      <w:sz w:val="19"/>
      <w:szCs w:val="19"/>
    </w:rPr>
  </w:style>
  <w:style w:type="paragraph" w:customStyle="1" w:styleId="376">
    <w:name w:val="xl112"/>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377">
    <w:name w:val="标题4居中"/>
    <w:basedOn w:val="7"/>
    <w:qFormat/>
    <w:uiPriority w:val="0"/>
    <w:pPr>
      <w:spacing w:beforeLines="50" w:afterLines="50"/>
      <w:outlineLvl w:val="9"/>
    </w:pPr>
    <w:rPr>
      <w:bCs/>
      <w:sz w:val="30"/>
      <w:szCs w:val="20"/>
      <w:lang w:val="zh-CN"/>
    </w:rPr>
  </w:style>
  <w:style w:type="paragraph" w:customStyle="1" w:styleId="378">
    <w:name w:val="xl121"/>
    <w:basedOn w:val="1"/>
    <w:qFormat/>
    <w:uiPriority w:val="0"/>
    <w:pPr>
      <w:widowControl/>
      <w:pBdr>
        <w:top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379">
    <w:name w:val="font6"/>
    <w:basedOn w:val="1"/>
    <w:qFormat/>
    <w:uiPriority w:val="0"/>
    <w:pPr>
      <w:widowControl/>
      <w:spacing w:before="100" w:beforeAutospacing="1" w:after="100" w:afterAutospacing="1"/>
      <w:jc w:val="left"/>
    </w:pPr>
    <w:rPr>
      <w:rFonts w:ascii="Courier New" w:hAnsi="Courier New" w:cs="Courier New"/>
      <w:kern w:val="0"/>
      <w:sz w:val="12"/>
      <w:szCs w:val="12"/>
    </w:rPr>
  </w:style>
  <w:style w:type="paragraph" w:customStyle="1" w:styleId="380">
    <w:name w:val="Char Char Char Char Char Char Char1 Char Char Char Char Char Char"/>
    <w:basedOn w:val="1"/>
    <w:qFormat/>
    <w:uiPriority w:val="0"/>
    <w:rPr>
      <w:rFonts w:ascii="Tahoma" w:hAnsi="Tahoma"/>
      <w:sz w:val="24"/>
      <w:szCs w:val="20"/>
    </w:rPr>
  </w:style>
  <w:style w:type="paragraph" w:customStyle="1" w:styleId="381">
    <w:name w:val="正  文"/>
    <w:basedOn w:val="1"/>
    <w:qFormat/>
    <w:uiPriority w:val="0"/>
    <w:pPr>
      <w:spacing w:line="360" w:lineRule="auto"/>
      <w:ind w:firstLine="200" w:firstLineChars="200"/>
    </w:pPr>
    <w:rPr>
      <w:rFonts w:ascii="宋体" w:hAnsi="Calibri"/>
      <w:sz w:val="24"/>
    </w:rPr>
  </w:style>
  <w:style w:type="paragraph" w:customStyle="1" w:styleId="382">
    <w:name w:val="附录章标题"/>
    <w:next w:val="333"/>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83">
    <w:name w:val="标题1"/>
    <w:basedOn w:val="1"/>
    <w:qFormat/>
    <w:uiPriority w:val="0"/>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384">
    <w:name w:val="Char Char Char Char Char Char Char1"/>
    <w:basedOn w:val="1"/>
    <w:qFormat/>
    <w:uiPriority w:val="0"/>
    <w:rPr>
      <w:rFonts w:ascii="Tahoma" w:hAnsi="Tahoma"/>
      <w:sz w:val="24"/>
      <w:szCs w:val="20"/>
    </w:rPr>
  </w:style>
  <w:style w:type="paragraph" w:customStyle="1" w:styleId="385">
    <w:name w:val="xl79"/>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386">
    <w:name w:val="样式4"/>
    <w:basedOn w:val="1"/>
    <w:qFormat/>
    <w:uiPriority w:val="0"/>
    <w:pPr>
      <w:spacing w:line="360" w:lineRule="auto"/>
      <w:ind w:right="-10" w:rightChars="-10"/>
    </w:pPr>
    <w:rPr>
      <w:rFonts w:ascii="Arial" w:hAnsi="Arial" w:cs="Arial"/>
      <w:sz w:val="24"/>
    </w:rPr>
  </w:style>
  <w:style w:type="paragraph" w:customStyle="1" w:styleId="387">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388">
    <w:name w:val="文字"/>
    <w:basedOn w:val="1"/>
    <w:qFormat/>
    <w:uiPriority w:val="0"/>
    <w:pPr>
      <w:tabs>
        <w:tab w:val="left" w:pos="8520"/>
      </w:tabs>
      <w:spacing w:line="312" w:lineRule="auto"/>
      <w:ind w:right="-210" w:firstLine="556"/>
    </w:pPr>
    <w:rPr>
      <w:rFonts w:ascii="宋体"/>
      <w:sz w:val="28"/>
      <w:szCs w:val="20"/>
    </w:rPr>
  </w:style>
  <w:style w:type="paragraph" w:customStyle="1" w:styleId="389">
    <w:name w:val="列出段落2"/>
    <w:basedOn w:val="1"/>
    <w:qFormat/>
    <w:uiPriority w:val="0"/>
    <w:pPr>
      <w:ind w:firstLine="200" w:firstLineChars="200"/>
    </w:pPr>
    <w:rPr>
      <w:szCs w:val="22"/>
    </w:rPr>
  </w:style>
  <w:style w:type="paragraph" w:customStyle="1" w:styleId="390">
    <w:name w:val="列出段落5"/>
    <w:basedOn w:val="1"/>
    <w:qFormat/>
    <w:uiPriority w:val="34"/>
    <w:pPr>
      <w:ind w:firstLine="420" w:firstLineChars="200"/>
    </w:pPr>
    <w:rPr>
      <w:rFonts w:ascii="Calibri" w:hAnsi="Calibri"/>
      <w:sz w:val="28"/>
      <w:szCs w:val="22"/>
    </w:rPr>
  </w:style>
  <w:style w:type="paragraph" w:customStyle="1" w:styleId="391">
    <w:name w:val="xl46"/>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392">
    <w:name w:val="xl120"/>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93">
    <w:name w:val="xl60"/>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394">
    <w:name w:val="font1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395">
    <w:name w:val="正文（仿宋3号）"/>
    <w:basedOn w:val="396"/>
    <w:qFormat/>
    <w:uiPriority w:val="0"/>
    <w:pPr>
      <w:spacing w:beforeLines="0" w:afterLines="0"/>
      <w:jc w:val="center"/>
    </w:pPr>
    <w:rPr>
      <w:rFonts w:eastAsia="仿宋"/>
      <w:sz w:val="32"/>
    </w:rPr>
  </w:style>
  <w:style w:type="paragraph" w:customStyle="1" w:styleId="396">
    <w:name w:val="标题（标宋２号）"/>
    <w:basedOn w:val="1"/>
    <w:qFormat/>
    <w:uiPriority w:val="0"/>
    <w:pPr>
      <w:spacing w:beforeLines="50" w:afterLines="50" w:line="480" w:lineRule="auto"/>
      <w:ind w:right="-10" w:rightChars="-10" w:firstLine="225" w:firstLineChars="225"/>
    </w:pPr>
    <w:rPr>
      <w:rFonts w:ascii="Arial" w:hAnsi="Arial" w:cs="Arial"/>
      <w:sz w:val="44"/>
    </w:rPr>
  </w:style>
  <w:style w:type="paragraph" w:customStyle="1" w:styleId="397">
    <w:name w:val="xl80"/>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398">
    <w:name w:val="列出段落11"/>
    <w:basedOn w:val="1"/>
    <w:qFormat/>
    <w:uiPriority w:val="0"/>
    <w:pPr>
      <w:ind w:firstLine="200" w:firstLineChars="200"/>
    </w:pPr>
    <w:rPr>
      <w:szCs w:val="22"/>
    </w:rPr>
  </w:style>
  <w:style w:type="paragraph" w:customStyle="1" w:styleId="399">
    <w:name w:val="_Style 1"/>
    <w:basedOn w:val="1"/>
    <w:qFormat/>
    <w:uiPriority w:val="34"/>
    <w:pPr>
      <w:ind w:firstLine="420" w:firstLineChars="200"/>
    </w:pPr>
  </w:style>
  <w:style w:type="paragraph" w:customStyle="1" w:styleId="400">
    <w:name w:val="xl100"/>
    <w:basedOn w:val="1"/>
    <w:qFormat/>
    <w:uiPriority w:val="0"/>
    <w:pPr>
      <w:widowControl/>
      <w:pBdr>
        <w:top w:val="single" w:color="auto" w:sz="8"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01">
    <w:name w:val="xl12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402">
    <w:name w:val="列出段落3"/>
    <w:basedOn w:val="1"/>
    <w:qFormat/>
    <w:uiPriority w:val="0"/>
    <w:pPr>
      <w:ind w:firstLine="200" w:firstLineChars="200"/>
    </w:pPr>
    <w:rPr>
      <w:szCs w:val="22"/>
    </w:rPr>
  </w:style>
  <w:style w:type="paragraph" w:customStyle="1" w:styleId="403">
    <w:name w:val="xl30"/>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404">
    <w:name w:val="CM17"/>
    <w:basedOn w:val="1"/>
    <w:next w:val="1"/>
    <w:qFormat/>
    <w:uiPriority w:val="0"/>
    <w:pPr>
      <w:autoSpaceDE w:val="0"/>
      <w:autoSpaceDN w:val="0"/>
      <w:adjustRightInd w:val="0"/>
      <w:spacing w:line="468" w:lineRule="atLeast"/>
      <w:jc w:val="left"/>
    </w:pPr>
    <w:rPr>
      <w:rFonts w:ascii="宋体"/>
      <w:kern w:val="0"/>
      <w:sz w:val="24"/>
    </w:rPr>
  </w:style>
  <w:style w:type="paragraph" w:customStyle="1" w:styleId="405">
    <w:name w:val="Content"/>
    <w:basedOn w:val="3"/>
    <w:qFormat/>
    <w:uiPriority w:val="0"/>
    <w:rPr>
      <w:rFonts w:ascii="Times New Roman" w:eastAsia="宋体"/>
      <w:kern w:val="0"/>
      <w:sz w:val="28"/>
    </w:rPr>
  </w:style>
  <w:style w:type="paragraph" w:customStyle="1" w:styleId="406">
    <w:name w:val="xl99"/>
    <w:basedOn w:val="1"/>
    <w:qFormat/>
    <w:uiPriority w:val="0"/>
    <w:pPr>
      <w:widowControl/>
      <w:pBdr>
        <w:top w:val="single" w:color="auto" w:sz="8" w:space="0"/>
      </w:pBdr>
      <w:spacing w:before="100" w:beforeAutospacing="1" w:after="100" w:afterAutospacing="1"/>
      <w:jc w:val="left"/>
    </w:pPr>
    <w:rPr>
      <w:rFonts w:ascii="Arial" w:hAnsi="Arial" w:cs="Arial"/>
      <w:kern w:val="0"/>
      <w:sz w:val="18"/>
      <w:szCs w:val="18"/>
    </w:rPr>
  </w:style>
  <w:style w:type="paragraph" w:customStyle="1" w:styleId="407">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408">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09">
    <w:name w:val="_Style 3"/>
    <w:basedOn w:val="1"/>
    <w:qFormat/>
    <w:uiPriority w:val="34"/>
    <w:pPr>
      <w:ind w:firstLine="420" w:firstLineChars="200"/>
    </w:pPr>
    <w:rPr>
      <w:sz w:val="28"/>
      <w:szCs w:val="28"/>
    </w:rPr>
  </w:style>
  <w:style w:type="paragraph" w:customStyle="1" w:styleId="410">
    <w:name w:val="首航缩进 Char"/>
    <w:basedOn w:val="1"/>
    <w:qFormat/>
    <w:uiPriority w:val="0"/>
    <w:pPr>
      <w:spacing w:line="300" w:lineRule="auto"/>
      <w:ind w:firstLine="200" w:firstLineChars="200"/>
      <w:jc w:val="left"/>
    </w:pPr>
    <w:rPr>
      <w:rFonts w:eastAsia="仿宋_GB2312"/>
      <w:color w:val="000000"/>
      <w:sz w:val="24"/>
    </w:rPr>
  </w:style>
  <w:style w:type="paragraph" w:customStyle="1" w:styleId="411">
    <w:name w:val="xl65"/>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12">
    <w:name w:val="xl31"/>
    <w:basedOn w:val="1"/>
    <w:qFormat/>
    <w:uiPriority w:val="0"/>
    <w:pPr>
      <w:widowControl/>
      <w:pBdr>
        <w:left w:val="single" w:color="auto" w:sz="8" w:space="0"/>
        <w:bottom w:val="single" w:color="auto" w:sz="8" w:space="0"/>
      </w:pBdr>
      <w:spacing w:before="100" w:beforeAutospacing="1" w:after="100" w:afterAutospacing="1"/>
      <w:jc w:val="left"/>
    </w:pPr>
    <w:rPr>
      <w:rFonts w:ascii="Arial" w:hAnsi="Arial" w:cs="Arial"/>
      <w:kern w:val="0"/>
      <w:sz w:val="18"/>
      <w:szCs w:val="18"/>
    </w:rPr>
  </w:style>
  <w:style w:type="paragraph" w:customStyle="1" w:styleId="413">
    <w:name w:val="xl68"/>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414">
    <w:name w:val="font9"/>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415">
    <w:name w:val="xl34"/>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416">
    <w:name w:val="xl41"/>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417">
    <w:name w:val="xl117"/>
    <w:basedOn w:val="1"/>
    <w:qFormat/>
    <w:uiPriority w:val="0"/>
    <w:pPr>
      <w:widowControl/>
      <w:pBdr>
        <w:right w:val="single" w:color="auto" w:sz="4" w:space="0"/>
      </w:pBdr>
      <w:spacing w:before="100" w:beforeAutospacing="1" w:after="100" w:afterAutospacing="1"/>
      <w:jc w:val="left"/>
    </w:pPr>
    <w:rPr>
      <w:rFonts w:ascii="幼圆" w:eastAsia="幼圆" w:cs="宋体"/>
      <w:color w:val="333333"/>
      <w:kern w:val="0"/>
      <w:sz w:val="17"/>
      <w:szCs w:val="17"/>
    </w:rPr>
  </w:style>
  <w:style w:type="paragraph" w:customStyle="1" w:styleId="418">
    <w:name w:val="_Style 3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9">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20">
    <w:name w:val="font18"/>
    <w:basedOn w:val="1"/>
    <w:qFormat/>
    <w:uiPriority w:val="0"/>
    <w:pPr>
      <w:widowControl/>
      <w:spacing w:before="100" w:beforeAutospacing="1" w:after="100" w:afterAutospacing="1"/>
      <w:jc w:val="left"/>
    </w:pPr>
    <w:rPr>
      <w:rFonts w:ascii="幼圆" w:eastAsia="幼圆" w:cs="宋体"/>
      <w:color w:val="333333"/>
      <w:kern w:val="0"/>
      <w:sz w:val="18"/>
      <w:szCs w:val="18"/>
    </w:rPr>
  </w:style>
  <w:style w:type="paragraph" w:customStyle="1" w:styleId="421">
    <w:name w:val="封面3"/>
    <w:basedOn w:val="1"/>
    <w:qFormat/>
    <w:uiPriority w:val="0"/>
    <w:pPr>
      <w:spacing w:line="360" w:lineRule="auto"/>
      <w:ind w:right="-10" w:rightChars="-10"/>
      <w:jc w:val="center"/>
    </w:pPr>
    <w:rPr>
      <w:rFonts w:ascii="Arial" w:hAnsi="Arial" w:eastAsia="黑体" w:cs="Arial"/>
      <w:bCs/>
      <w:spacing w:val="-4"/>
      <w:sz w:val="52"/>
      <w:szCs w:val="52"/>
    </w:rPr>
  </w:style>
  <w:style w:type="paragraph" w:customStyle="1" w:styleId="422">
    <w:name w:val="xl105"/>
    <w:basedOn w:val="1"/>
    <w:qFormat/>
    <w:uiPriority w:val="0"/>
    <w:pPr>
      <w:widowControl/>
      <w:pBdr>
        <w:bottom w:val="single" w:color="auto" w:sz="8" w:space="0"/>
        <w:right w:val="single" w:color="auto" w:sz="4" w:space="0"/>
      </w:pBdr>
      <w:spacing w:before="100" w:beforeAutospacing="1" w:after="100" w:afterAutospacing="1"/>
      <w:jc w:val="left"/>
      <w:textAlignment w:val="bottom"/>
    </w:pPr>
    <w:rPr>
      <w:rFonts w:ascii="幼圆" w:eastAsia="幼圆" w:cs="宋体"/>
      <w:kern w:val="0"/>
      <w:sz w:val="18"/>
      <w:szCs w:val="18"/>
    </w:rPr>
  </w:style>
  <w:style w:type="character" w:customStyle="1" w:styleId="423">
    <w:name w:val="标题 3 Char2"/>
    <w:qFormat/>
    <w:uiPriority w:val="0"/>
    <w:rPr>
      <w:rFonts w:eastAsia="宋体"/>
      <w:b/>
      <w:bCs/>
      <w:kern w:val="2"/>
      <w:sz w:val="32"/>
      <w:szCs w:val="32"/>
      <w:lang w:val="en-US" w:eastAsia="zh-CN" w:bidi="ar-SA"/>
    </w:rPr>
  </w:style>
  <w:style w:type="character" w:customStyle="1" w:styleId="424">
    <w:name w:val="ca-141"/>
    <w:uiPriority w:val="0"/>
    <w:rPr>
      <w:rFonts w:hint="eastAsia" w:ascii="仿宋_GB2312" w:eastAsia="仿宋_GB2312"/>
      <w:sz w:val="21"/>
      <w:szCs w:val="21"/>
    </w:rPr>
  </w:style>
  <w:style w:type="character" w:customStyle="1" w:styleId="425">
    <w:name w:val="页脚 字符2"/>
    <w:qFormat/>
    <w:uiPriority w:val="99"/>
    <w:rPr>
      <w:sz w:val="18"/>
      <w:szCs w:val="18"/>
    </w:rPr>
  </w:style>
  <w:style w:type="character" w:customStyle="1" w:styleId="426">
    <w:name w:val="正文文本 2 字符2"/>
    <w:basedOn w:val="51"/>
    <w:semiHidden/>
    <w:uiPriority w:val="99"/>
  </w:style>
  <w:style w:type="character" w:customStyle="1" w:styleId="427">
    <w:name w:val="副标题 字符2"/>
    <w:basedOn w:val="51"/>
    <w:uiPriority w:val="11"/>
    <w:rPr>
      <w:b/>
      <w:bCs/>
      <w:kern w:val="28"/>
      <w:sz w:val="32"/>
      <w:szCs w:val="32"/>
    </w:rPr>
  </w:style>
  <w:style w:type="character" w:customStyle="1" w:styleId="428">
    <w:name w:val="脚注文本 字符2"/>
    <w:basedOn w:val="51"/>
    <w:semiHidden/>
    <w:uiPriority w:val="99"/>
    <w:rPr>
      <w:sz w:val="18"/>
      <w:szCs w:val="18"/>
    </w:rPr>
  </w:style>
  <w:style w:type="character" w:customStyle="1" w:styleId="429">
    <w:name w:val="标题 字符2"/>
    <w:basedOn w:val="51"/>
    <w:uiPriority w:val="10"/>
    <w:rPr>
      <w:rFonts w:asciiTheme="majorHAnsi" w:hAnsiTheme="majorHAnsi" w:eastAsiaTheme="majorEastAsia" w:cstheme="majorBidi"/>
      <w:b/>
      <w:bCs/>
      <w:sz w:val="32"/>
      <w:szCs w:val="32"/>
    </w:rPr>
  </w:style>
  <w:style w:type="character" w:customStyle="1" w:styleId="430">
    <w:name w:val="纯文本 字符2"/>
    <w:basedOn w:val="51"/>
    <w:semiHidden/>
    <w:uiPriority w:val="99"/>
    <w:rPr>
      <w:rFonts w:hAnsi="Courier New" w:cs="Courier New" w:asciiTheme="minorEastAsia"/>
    </w:rPr>
  </w:style>
  <w:style w:type="character" w:customStyle="1" w:styleId="431">
    <w:name w:val="日期 字符2"/>
    <w:basedOn w:val="51"/>
    <w:semiHidden/>
    <w:uiPriority w:val="99"/>
  </w:style>
  <w:style w:type="character" w:customStyle="1" w:styleId="432">
    <w:name w:val="批注文字 字符2"/>
    <w:basedOn w:val="51"/>
    <w:semiHidden/>
    <w:uiPriority w:val="99"/>
  </w:style>
  <w:style w:type="character" w:customStyle="1" w:styleId="433">
    <w:name w:val="HTML 预设格式 字符2"/>
    <w:basedOn w:val="51"/>
    <w:semiHidden/>
    <w:uiPriority w:val="99"/>
    <w:rPr>
      <w:rFonts w:ascii="Courier New" w:hAnsi="Courier New" w:cs="Courier New"/>
      <w:sz w:val="20"/>
      <w:szCs w:val="20"/>
    </w:rPr>
  </w:style>
  <w:style w:type="character" w:customStyle="1" w:styleId="434">
    <w:name w:val="尾注文本 字符2"/>
    <w:basedOn w:val="51"/>
    <w:semiHidden/>
    <w:uiPriority w:val="99"/>
  </w:style>
  <w:style w:type="character" w:customStyle="1" w:styleId="435">
    <w:name w:val="批注框文本 字符2"/>
    <w:basedOn w:val="51"/>
    <w:semiHidden/>
    <w:uiPriority w:val="99"/>
    <w:rPr>
      <w:sz w:val="18"/>
      <w:szCs w:val="18"/>
    </w:rPr>
  </w:style>
  <w:style w:type="character" w:customStyle="1" w:styleId="436">
    <w:name w:val="正文文本缩进 3 字符2"/>
    <w:basedOn w:val="51"/>
    <w:semiHidden/>
    <w:uiPriority w:val="99"/>
    <w:rPr>
      <w:sz w:val="16"/>
      <w:szCs w:val="16"/>
    </w:rPr>
  </w:style>
  <w:style w:type="paragraph" w:customStyle="1" w:styleId="437">
    <w:name w:val="Revision"/>
    <w:semiHidden/>
    <w:uiPriority w:val="99"/>
    <w:rPr>
      <w:rFonts w:ascii="Times New Roman" w:hAnsi="Times New Roman" w:eastAsia="宋体" w:cs="Times New Roman"/>
      <w:kern w:val="2"/>
      <w:sz w:val="21"/>
      <w:szCs w:val="24"/>
      <w:lang w:val="en-US" w:eastAsia="zh-CN" w:bidi="ar-SA"/>
    </w:rPr>
  </w:style>
  <w:style w:type="character" w:customStyle="1" w:styleId="438">
    <w:name w:val="文档结构图 字符2"/>
    <w:basedOn w:val="51"/>
    <w:semiHidden/>
    <w:uiPriority w:val="99"/>
    <w:rPr>
      <w:rFonts w:ascii="Microsoft YaHei UI" w:eastAsia="Microsoft YaHei UI"/>
      <w:sz w:val="18"/>
      <w:szCs w:val="18"/>
    </w:rPr>
  </w:style>
  <w:style w:type="character" w:customStyle="1" w:styleId="439">
    <w:name w:val="批注主题 字符2"/>
    <w:basedOn w:val="432"/>
    <w:semiHidden/>
    <w:uiPriority w:val="99"/>
    <w:rPr>
      <w:b/>
      <w:bCs/>
    </w:rPr>
  </w:style>
  <w:style w:type="character" w:customStyle="1" w:styleId="440">
    <w:name w:val="正文文本缩进 字符2"/>
    <w:basedOn w:val="51"/>
    <w:semiHidden/>
    <w:uiPriority w:val="99"/>
  </w:style>
  <w:style w:type="character" w:customStyle="1" w:styleId="441">
    <w:name w:val="正文文本 3 字符2"/>
    <w:basedOn w:val="51"/>
    <w:semiHidden/>
    <w:uiPriority w:val="99"/>
    <w:rPr>
      <w:sz w:val="16"/>
      <w:szCs w:val="16"/>
    </w:rPr>
  </w:style>
  <w:style w:type="character" w:customStyle="1" w:styleId="442">
    <w:name w:val="正文文本 字符2"/>
    <w:basedOn w:val="51"/>
    <w:semiHidden/>
    <w:uiPriority w:val="99"/>
  </w:style>
  <w:style w:type="character" w:customStyle="1" w:styleId="443">
    <w:name w:val="正文文本缩进 2 字符2"/>
    <w:basedOn w:val="51"/>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122</Pages>
  <Words>12052</Words>
  <Characters>68703</Characters>
  <Lines>572</Lines>
  <Paragraphs>161</Paragraphs>
  <TotalTime>1</TotalTime>
  <ScaleCrop>false</ScaleCrop>
  <LinksUpToDate>false</LinksUpToDate>
  <CharactersWithSpaces>80594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2021-02-02T02:10:00Z</dcterms:created>
  <dc:creator>AutoBVT</dc:creator>
  <cp:lastModifiedBy>Administrator</cp:lastModifiedBy>
  <cp:lastPrinted>2021-02-02T02:00:00Z</cp:lastPrinted>
  <dcterms:modified xsi:type="dcterms:W3CDTF">2021-02-02T07:35:58Z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